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Times New Roman"/>
          <w:b/>
          <w:bCs/>
          <w:color w:val="auto"/>
          <w:sz w:val="52"/>
          <w:szCs w:val="52"/>
        </w:rPr>
      </w:pPr>
      <w:r>
        <w:rPr>
          <w:rFonts w:hint="eastAsia" w:ascii="宋体" w:hAnsi="宋体" w:eastAsia="宋体" w:cs="Times New Roman"/>
          <w:b/>
          <w:bCs/>
          <w:color w:val="auto"/>
          <w:sz w:val="52"/>
          <w:szCs w:val="52"/>
        </w:rPr>
        <w:t>盛荣集团管理制度</w:t>
      </w:r>
    </w:p>
    <w:p>
      <w:pPr>
        <w:spacing w:line="360" w:lineRule="auto"/>
        <w:jc w:val="center"/>
        <w:rPr>
          <w:rFonts w:hint="eastAsia" w:ascii="宋体" w:hAnsi="宋体" w:eastAsia="宋体" w:cs="Times New Roman"/>
          <w:b/>
          <w:bCs/>
          <w:color w:val="auto"/>
          <w:sz w:val="36"/>
          <w:szCs w:val="36"/>
        </w:rPr>
      </w:pPr>
      <w:r>
        <w:rPr>
          <w:rFonts w:hint="eastAsia" w:ascii="宋体" w:hAnsi="宋体" w:eastAsia="宋体" w:cs="Times New Roman"/>
          <w:b/>
          <w:bCs/>
          <w:color w:val="auto"/>
          <w:sz w:val="36"/>
          <w:szCs w:val="36"/>
        </w:rPr>
        <w:t>补充管理办法</w:t>
      </w:r>
    </w:p>
    <w:p>
      <w:pPr>
        <w:spacing w:line="360" w:lineRule="auto"/>
        <w:rPr>
          <w:rFonts w:hint="eastAsia" w:ascii="宋体" w:hAnsi="宋体" w:eastAsia="宋体" w:cs="Times New Roman"/>
          <w:b/>
          <w:bCs/>
          <w:color w:val="auto"/>
          <w:sz w:val="32"/>
          <w:szCs w:val="32"/>
        </w:rPr>
      </w:pPr>
      <w:r>
        <w:rPr>
          <w:rFonts w:hint="eastAsia" w:ascii="宋体" w:hAnsi="宋体" w:eastAsia="宋体" w:cs="Times New Roman"/>
          <w:b/>
          <w:bCs/>
          <w:color w:val="auto"/>
          <w:sz w:val="32"/>
          <w:szCs w:val="32"/>
        </w:rPr>
        <w:t>一、考勤及休假管理制度</w:t>
      </w:r>
    </w:p>
    <w:p>
      <w:pPr>
        <w:numPr>
          <w:ilvl w:val="0"/>
          <w:numId w:val="1"/>
        </w:numPr>
        <w:spacing w:line="360" w:lineRule="auto"/>
        <w:rPr>
          <w:rFonts w:ascii="宋体" w:hAnsi="宋体" w:eastAsia="宋体" w:cs="Times New Roman"/>
          <w:b/>
          <w:bCs/>
          <w:color w:val="auto"/>
          <w:szCs w:val="21"/>
        </w:rPr>
      </w:pPr>
      <w:r>
        <w:rPr>
          <w:rFonts w:hint="eastAsia" w:ascii="宋体" w:hAnsi="宋体" w:eastAsia="宋体" w:cs="Times New Roman"/>
          <w:b/>
          <w:bCs/>
          <w:color w:val="auto"/>
          <w:szCs w:val="21"/>
        </w:rPr>
        <w:t>目    的</w:t>
      </w:r>
    </w:p>
    <w:p>
      <w:pPr>
        <w:spacing w:line="360" w:lineRule="auto"/>
        <w:ind w:left="737"/>
        <w:rPr>
          <w:rFonts w:hint="eastAsia" w:ascii="宋体" w:hAnsi="宋体" w:eastAsia="宋体" w:cs="Times New Roman"/>
          <w:bCs/>
          <w:color w:val="auto"/>
          <w:szCs w:val="21"/>
        </w:rPr>
      </w:pPr>
      <w:r>
        <w:rPr>
          <w:rFonts w:hint="eastAsia" w:ascii="宋体" w:hAnsi="宋体" w:eastAsia="宋体" w:cs="Times New Roman"/>
          <w:bCs/>
          <w:color w:val="auto"/>
          <w:szCs w:val="21"/>
        </w:rPr>
        <w:t>维护工作秩序、提高工作效率，明确公司工作纪律、保障员工休息休假的权利</w:t>
      </w:r>
      <w:r>
        <w:rPr>
          <w:rFonts w:ascii="宋体" w:hAnsi="宋体" w:eastAsia="宋体" w:cs="Times New Roman"/>
          <w:bCs/>
          <w:color w:val="auto"/>
          <w:szCs w:val="21"/>
        </w:rPr>
        <w:t>。</w:t>
      </w:r>
    </w:p>
    <w:p>
      <w:pPr>
        <w:numPr>
          <w:ilvl w:val="0"/>
          <w:numId w:val="1"/>
        </w:numPr>
        <w:spacing w:line="360" w:lineRule="auto"/>
        <w:rPr>
          <w:rFonts w:ascii="宋体" w:hAnsi="宋体" w:eastAsia="宋体" w:cs="Times New Roman"/>
          <w:b/>
          <w:bCs/>
          <w:color w:val="auto"/>
          <w:szCs w:val="21"/>
        </w:rPr>
      </w:pPr>
      <w:r>
        <w:rPr>
          <w:rFonts w:ascii="宋体" w:hAnsi="宋体" w:eastAsia="宋体" w:cs="Times New Roman"/>
          <w:b/>
          <w:color w:val="auto"/>
          <w:szCs w:val="21"/>
        </w:rPr>
        <w:t>适用范围</w:t>
      </w:r>
    </w:p>
    <w:p>
      <w:pPr>
        <w:spacing w:line="360" w:lineRule="auto"/>
        <w:ind w:left="737"/>
        <w:rPr>
          <w:rFonts w:hint="eastAsia" w:ascii="宋体" w:hAnsi="宋体" w:eastAsia="宋体" w:cs="Times New Roman"/>
          <w:color w:val="auto"/>
          <w:szCs w:val="21"/>
        </w:rPr>
      </w:pPr>
      <w:r>
        <w:rPr>
          <w:rFonts w:hint="eastAsia" w:ascii="宋体" w:hAnsi="宋体" w:eastAsia="宋体" w:cs="Times New Roman"/>
          <w:color w:val="auto"/>
          <w:szCs w:val="21"/>
        </w:rPr>
        <w:t>适用于盛荣集团全体员工</w:t>
      </w:r>
      <w:r>
        <w:rPr>
          <w:rFonts w:ascii="宋体" w:hAnsi="宋体" w:eastAsia="宋体" w:cs="Times New Roman"/>
          <w:color w:val="auto"/>
          <w:szCs w:val="21"/>
        </w:rPr>
        <w:t>。</w:t>
      </w:r>
    </w:p>
    <w:p>
      <w:pPr>
        <w:numPr>
          <w:ilvl w:val="0"/>
          <w:numId w:val="1"/>
        </w:numPr>
        <w:spacing w:line="360" w:lineRule="auto"/>
        <w:rPr>
          <w:rFonts w:ascii="宋体" w:hAnsi="宋体" w:eastAsia="宋体" w:cs="Times New Roman"/>
          <w:b/>
          <w:bCs/>
          <w:color w:val="auto"/>
          <w:szCs w:val="21"/>
        </w:rPr>
      </w:pPr>
      <w:r>
        <w:rPr>
          <w:rFonts w:hint="eastAsia" w:ascii="宋体" w:hAnsi="宋体" w:eastAsia="宋体" w:cs="Times New Roman"/>
          <w:b/>
          <w:bCs/>
          <w:color w:val="auto"/>
          <w:szCs w:val="21"/>
        </w:rPr>
        <w:t>职    责</w:t>
      </w:r>
    </w:p>
    <w:p>
      <w:pPr>
        <w:numPr>
          <w:ilvl w:val="0"/>
          <w:numId w:val="2"/>
        </w:numPr>
        <w:tabs>
          <w:tab w:val="left" w:pos="709"/>
        </w:tabs>
        <w:spacing w:line="360" w:lineRule="auto"/>
        <w:rPr>
          <w:rFonts w:ascii="宋体" w:hAnsi="宋体" w:eastAsia="宋体" w:cs="Times New Roman"/>
          <w:b/>
          <w:bCs/>
          <w:color w:val="auto"/>
          <w:szCs w:val="21"/>
        </w:rPr>
      </w:pPr>
      <w:r>
        <w:rPr>
          <w:rFonts w:hint="eastAsia" w:ascii="宋体" w:hAnsi="宋体" w:eastAsia="宋体" w:cs="Times New Roman"/>
          <w:bCs/>
          <w:color w:val="auto"/>
          <w:szCs w:val="21"/>
          <w:lang w:val="en-US" w:eastAsia="zh-CN"/>
        </w:rPr>
        <w:t xml:space="preserve">   </w:t>
      </w:r>
      <w:r>
        <w:rPr>
          <w:rFonts w:hint="eastAsia" w:ascii="宋体" w:hAnsi="宋体" w:eastAsia="宋体" w:cs="Times New Roman"/>
          <w:bCs/>
          <w:color w:val="auto"/>
          <w:szCs w:val="21"/>
        </w:rPr>
        <w:t>总裁办公室：负责员工考勤的统计、审核；</w:t>
      </w:r>
    </w:p>
    <w:p>
      <w:pPr>
        <w:numPr>
          <w:ilvl w:val="0"/>
          <w:numId w:val="2"/>
        </w:numPr>
        <w:tabs>
          <w:tab w:val="left" w:pos="709"/>
        </w:tabs>
        <w:spacing w:line="360" w:lineRule="auto"/>
        <w:rPr>
          <w:rFonts w:hint="eastAsia" w:ascii="宋体" w:hAnsi="宋体" w:eastAsia="宋体" w:cs="Times New Roman"/>
          <w:b/>
          <w:bCs/>
          <w:color w:val="auto"/>
          <w:szCs w:val="21"/>
        </w:rPr>
      </w:pPr>
      <w:r>
        <w:rPr>
          <w:rFonts w:hint="eastAsia" w:ascii="宋体" w:hAnsi="宋体" w:eastAsia="宋体" w:cs="Times New Roman"/>
          <w:bCs/>
          <w:color w:val="auto"/>
          <w:szCs w:val="21"/>
          <w:lang w:val="en-US" w:eastAsia="zh-CN"/>
        </w:rPr>
        <w:t xml:space="preserve">   </w:t>
      </w:r>
      <w:r>
        <w:rPr>
          <w:rFonts w:hint="eastAsia" w:ascii="宋体" w:hAnsi="宋体" w:eastAsia="宋体" w:cs="Times New Roman"/>
          <w:bCs/>
          <w:color w:val="auto"/>
          <w:szCs w:val="21"/>
        </w:rPr>
        <w:t>各部门：负责所属员工休假的审批及考勤规定的执行。</w:t>
      </w:r>
    </w:p>
    <w:p>
      <w:pPr>
        <w:numPr>
          <w:ilvl w:val="0"/>
          <w:numId w:val="1"/>
        </w:numPr>
        <w:spacing w:line="360" w:lineRule="auto"/>
        <w:rPr>
          <w:rFonts w:ascii="宋体" w:hAnsi="宋体" w:eastAsia="宋体" w:cs="Times New Roman"/>
          <w:b/>
          <w:bCs/>
          <w:color w:val="auto"/>
          <w:szCs w:val="21"/>
        </w:rPr>
      </w:pPr>
      <w:r>
        <w:rPr>
          <w:rFonts w:hint="eastAsia" w:ascii="宋体" w:hAnsi="宋体" w:eastAsia="宋体" w:cs="Times New Roman"/>
          <w:b/>
          <w:bCs/>
          <w:color w:val="auto"/>
          <w:szCs w:val="21"/>
        </w:rPr>
        <w:t>假期种类和有关约定</w:t>
      </w:r>
    </w:p>
    <w:p>
      <w:pPr>
        <w:numPr>
          <w:ilvl w:val="0"/>
          <w:numId w:val="3"/>
        </w:numPr>
        <w:tabs>
          <w:tab w:val="left" w:pos="709"/>
        </w:tabs>
        <w:spacing w:line="360" w:lineRule="auto"/>
        <w:ind w:left="709" w:hanging="709"/>
        <w:rPr>
          <w:rFonts w:ascii="宋体" w:hAnsi="宋体" w:eastAsia="宋体" w:cs="Times New Roman"/>
          <w:b/>
          <w:bCs/>
          <w:color w:val="auto"/>
          <w:szCs w:val="21"/>
        </w:rPr>
      </w:pPr>
      <w:r>
        <w:rPr>
          <w:rFonts w:ascii="宋体" w:hAnsi="宋体" w:eastAsia="宋体" w:cs="Times New Roman"/>
          <w:color w:val="auto"/>
          <w:szCs w:val="21"/>
        </w:rPr>
        <w:t>假期</w:t>
      </w:r>
      <w:r>
        <w:rPr>
          <w:rFonts w:hint="eastAsia" w:ascii="宋体" w:hAnsi="宋体" w:eastAsia="宋体" w:cs="Times New Roman"/>
          <w:color w:val="auto"/>
          <w:szCs w:val="21"/>
        </w:rPr>
        <w:t>种类</w:t>
      </w:r>
      <w:r>
        <w:rPr>
          <w:rFonts w:ascii="宋体" w:hAnsi="宋体" w:eastAsia="宋体" w:cs="Times New Roman"/>
          <w:color w:val="auto"/>
          <w:szCs w:val="21"/>
        </w:rPr>
        <w:t>包括</w:t>
      </w:r>
      <w:r>
        <w:rPr>
          <w:rFonts w:hint="eastAsia" w:ascii="宋体" w:hAnsi="宋体" w:eastAsia="宋体" w:cs="Times New Roman"/>
          <w:color w:val="auto"/>
          <w:szCs w:val="21"/>
        </w:rPr>
        <w:t>国家</w:t>
      </w:r>
      <w:r>
        <w:rPr>
          <w:rFonts w:ascii="宋体" w:hAnsi="宋体" w:eastAsia="宋体" w:cs="Times New Roman"/>
          <w:color w:val="auto"/>
          <w:szCs w:val="21"/>
        </w:rPr>
        <w:t>法定节</w:t>
      </w:r>
      <w:r>
        <w:rPr>
          <w:rFonts w:hint="eastAsia" w:ascii="宋体" w:hAnsi="宋体" w:eastAsia="宋体" w:cs="Times New Roman"/>
          <w:color w:val="auto"/>
          <w:szCs w:val="21"/>
        </w:rPr>
        <w:t>假</w:t>
      </w:r>
      <w:r>
        <w:rPr>
          <w:rFonts w:ascii="宋体" w:hAnsi="宋体" w:eastAsia="宋体" w:cs="Times New Roman"/>
          <w:color w:val="auto"/>
          <w:szCs w:val="21"/>
        </w:rPr>
        <w:t>日、年休假、婚假、丧假、产假、看护假、哺乳假、事假和病假等</w:t>
      </w:r>
      <w:r>
        <w:rPr>
          <w:rFonts w:hint="eastAsia" w:ascii="宋体" w:hAnsi="宋体" w:eastAsia="宋体" w:cs="Times New Roman"/>
          <w:color w:val="auto"/>
          <w:szCs w:val="21"/>
        </w:rPr>
        <w:t>；</w:t>
      </w:r>
    </w:p>
    <w:p>
      <w:pPr>
        <w:numPr>
          <w:ilvl w:val="0"/>
          <w:numId w:val="3"/>
        </w:numPr>
        <w:tabs>
          <w:tab w:val="left" w:pos="709"/>
        </w:tabs>
        <w:spacing w:line="360" w:lineRule="auto"/>
        <w:ind w:left="709" w:hanging="709"/>
        <w:rPr>
          <w:rFonts w:ascii="宋体" w:hAnsi="宋体" w:eastAsia="宋体" w:cs="Times New Roman"/>
          <w:b/>
          <w:bCs/>
          <w:color w:val="auto"/>
          <w:szCs w:val="21"/>
        </w:rPr>
      </w:pPr>
      <w:r>
        <w:rPr>
          <w:rFonts w:ascii="宋体" w:hAnsi="宋体" w:eastAsia="宋体" w:cs="Times New Roman"/>
          <w:color w:val="auto"/>
          <w:szCs w:val="21"/>
        </w:rPr>
        <w:t>员工转正后可</w:t>
      </w:r>
      <w:r>
        <w:rPr>
          <w:rFonts w:hint="eastAsia" w:ascii="宋体" w:hAnsi="宋体" w:eastAsia="宋体" w:cs="Times New Roman"/>
          <w:color w:val="auto"/>
          <w:szCs w:val="21"/>
        </w:rPr>
        <w:t>根据《劳动法》</w:t>
      </w:r>
      <w:r>
        <w:rPr>
          <w:rFonts w:ascii="宋体" w:hAnsi="宋体" w:eastAsia="宋体" w:cs="Times New Roman"/>
          <w:color w:val="auto"/>
          <w:szCs w:val="21"/>
        </w:rPr>
        <w:t>享受婚假、丧假、产假、哺乳假及看护假</w:t>
      </w:r>
      <w:r>
        <w:rPr>
          <w:rFonts w:hint="eastAsia" w:ascii="宋体" w:hAnsi="宋体" w:eastAsia="宋体" w:cs="Times New Roman"/>
          <w:color w:val="auto"/>
          <w:szCs w:val="21"/>
        </w:rPr>
        <w:t>。</w:t>
      </w:r>
    </w:p>
    <w:p>
      <w:pPr>
        <w:numPr>
          <w:ilvl w:val="0"/>
          <w:numId w:val="4"/>
        </w:numPr>
        <w:tabs>
          <w:tab w:val="left" w:pos="709"/>
        </w:tabs>
        <w:spacing w:line="360" w:lineRule="auto"/>
        <w:ind w:left="708" w:hanging="708" w:hangingChars="336"/>
        <w:rPr>
          <w:rFonts w:ascii="宋体" w:hAnsi="宋体" w:eastAsia="宋体" w:cs="Times New Roman"/>
          <w:b/>
          <w:bCs/>
          <w:color w:val="auto"/>
          <w:szCs w:val="21"/>
        </w:rPr>
      </w:pPr>
      <w:r>
        <w:rPr>
          <w:rFonts w:hint="eastAsia" w:ascii="宋体" w:hAnsi="宋体" w:eastAsia="宋体" w:cs="Times New Roman"/>
          <w:b/>
          <w:bCs/>
          <w:color w:val="auto"/>
          <w:szCs w:val="21"/>
        </w:rPr>
        <w:t>考勤管理</w:t>
      </w:r>
    </w:p>
    <w:p>
      <w:pPr>
        <w:numPr>
          <w:ilvl w:val="0"/>
          <w:numId w:val="5"/>
        </w:numPr>
        <w:tabs>
          <w:tab w:val="left" w:pos="709"/>
        </w:tabs>
        <w:spacing w:line="360" w:lineRule="auto"/>
        <w:ind w:left="709" w:hanging="711"/>
        <w:rPr>
          <w:rFonts w:ascii="宋体" w:hAnsi="宋体" w:eastAsia="宋体" w:cs="Times New Roman"/>
          <w:bCs/>
          <w:color w:val="auto"/>
          <w:szCs w:val="21"/>
        </w:rPr>
      </w:pPr>
      <w:r>
        <w:rPr>
          <w:rFonts w:hint="eastAsia" w:ascii="宋体" w:hAnsi="宋体" w:eastAsia="宋体" w:cs="Times New Roman"/>
          <w:bCs/>
          <w:color w:val="auto"/>
          <w:szCs w:val="21"/>
        </w:rPr>
        <w:t>公司标准工作时间为每周5天工作制（每周一至周五）。工作时间为</w:t>
      </w:r>
      <w:r>
        <w:rPr>
          <w:rFonts w:hint="eastAsia" w:ascii="宋体" w:hAnsi="宋体" w:eastAsia="宋体" w:cs="Times New Roman"/>
          <w:bCs/>
          <w:color w:val="auto"/>
          <w:szCs w:val="21"/>
          <w:lang w:val="en-US" w:eastAsia="zh-CN"/>
        </w:rPr>
        <w:t>8</w:t>
      </w:r>
      <w:r>
        <w:rPr>
          <w:rFonts w:hint="eastAsia" w:ascii="宋体" w:hAnsi="宋体" w:eastAsia="宋体" w:cs="Times New Roman"/>
          <w:bCs/>
          <w:color w:val="auto"/>
          <w:szCs w:val="21"/>
        </w:rPr>
        <w:t>:</w:t>
      </w:r>
      <w:r>
        <w:rPr>
          <w:rFonts w:hint="eastAsia" w:ascii="宋体" w:hAnsi="宋体" w:eastAsia="宋体" w:cs="Times New Roman"/>
          <w:bCs/>
          <w:color w:val="auto"/>
          <w:szCs w:val="21"/>
          <w:lang w:val="en-US" w:eastAsia="zh-CN"/>
        </w:rPr>
        <w:t>3</w:t>
      </w:r>
      <w:r>
        <w:rPr>
          <w:rFonts w:hint="eastAsia" w:ascii="宋体" w:hAnsi="宋体" w:eastAsia="宋体" w:cs="Times New Roman"/>
          <w:bCs/>
          <w:color w:val="auto"/>
          <w:szCs w:val="21"/>
        </w:rPr>
        <w:t>0</w:t>
      </w:r>
      <w:r>
        <w:rPr>
          <w:rFonts w:hint="eastAsia" w:ascii="宋体" w:hAnsi="宋体" w:eastAsia="宋体" w:cs="Times New Roman"/>
          <w:bCs/>
          <w:color w:val="auto"/>
          <w:szCs w:val="21"/>
          <w:lang w:val="en-US" w:eastAsia="zh-CN"/>
        </w:rPr>
        <w:t>-</w:t>
      </w:r>
      <w:r>
        <w:rPr>
          <w:rFonts w:hint="eastAsia" w:ascii="宋体" w:hAnsi="宋体" w:eastAsia="宋体" w:cs="Times New Roman"/>
          <w:bCs/>
          <w:color w:val="auto"/>
          <w:szCs w:val="21"/>
        </w:rPr>
        <w:t>17:</w:t>
      </w:r>
      <w:r>
        <w:rPr>
          <w:rFonts w:ascii="宋体" w:hAnsi="宋体" w:eastAsia="宋体" w:cs="Times New Roman"/>
          <w:bCs/>
          <w:color w:val="auto"/>
          <w:szCs w:val="21"/>
        </w:rPr>
        <w:t>0</w:t>
      </w:r>
      <w:r>
        <w:rPr>
          <w:rFonts w:hint="eastAsia" w:ascii="宋体" w:hAnsi="宋体" w:eastAsia="宋体" w:cs="Times New Roman"/>
          <w:bCs/>
          <w:color w:val="auto"/>
          <w:szCs w:val="21"/>
        </w:rPr>
        <w:t>0；</w:t>
      </w:r>
    </w:p>
    <w:p>
      <w:pPr>
        <w:numPr>
          <w:ilvl w:val="0"/>
          <w:numId w:val="5"/>
        </w:numPr>
        <w:tabs>
          <w:tab w:val="left" w:pos="709"/>
        </w:tabs>
        <w:spacing w:line="360" w:lineRule="auto"/>
        <w:ind w:left="709" w:hanging="709"/>
        <w:rPr>
          <w:rFonts w:ascii="宋体" w:hAnsi="宋体" w:eastAsia="宋体" w:cs="Times New Roman"/>
          <w:bCs/>
          <w:color w:val="auto"/>
          <w:szCs w:val="21"/>
        </w:rPr>
      </w:pPr>
      <w:r>
        <w:rPr>
          <w:rFonts w:hint="eastAsia" w:ascii="宋体" w:hAnsi="宋体" w:eastAsia="宋体" w:cs="Times New Roman"/>
          <w:bCs/>
          <w:color w:val="auto"/>
          <w:szCs w:val="21"/>
        </w:rPr>
        <w:t>公司可以根据劳动法律法规规定及业务需要更改并公告工作时间及用餐时间；</w:t>
      </w:r>
    </w:p>
    <w:p>
      <w:pPr>
        <w:numPr>
          <w:ilvl w:val="0"/>
          <w:numId w:val="5"/>
        </w:numPr>
        <w:tabs>
          <w:tab w:val="left" w:pos="709"/>
        </w:tabs>
        <w:spacing w:line="360" w:lineRule="auto"/>
        <w:ind w:left="709" w:hanging="711"/>
        <w:rPr>
          <w:rFonts w:ascii="宋体" w:hAnsi="宋体" w:eastAsia="宋体" w:cs="Times New Roman"/>
          <w:color w:val="auto"/>
          <w:szCs w:val="21"/>
        </w:rPr>
      </w:pPr>
      <w:r>
        <w:rPr>
          <w:rFonts w:ascii="宋体" w:hAnsi="宋体" w:eastAsia="宋体" w:cs="Times New Roman"/>
          <w:bCs/>
          <w:color w:val="auto"/>
          <w:szCs w:val="21"/>
        </w:rPr>
        <w:t>公司采用考勤机进行上下班指纹考勤，</w:t>
      </w:r>
      <w:r>
        <w:rPr>
          <w:rFonts w:hint="eastAsia" w:ascii="宋体" w:hAnsi="宋体" w:eastAsia="宋体" w:cs="Times New Roman"/>
          <w:bCs/>
          <w:color w:val="auto"/>
          <w:szCs w:val="21"/>
        </w:rPr>
        <w:t>按照各岗位规定的工作时间</w:t>
      </w:r>
      <w:r>
        <w:rPr>
          <w:rFonts w:ascii="宋体" w:hAnsi="宋体" w:eastAsia="宋体" w:cs="Times New Roman"/>
          <w:bCs/>
          <w:color w:val="auto"/>
          <w:szCs w:val="21"/>
        </w:rPr>
        <w:t>进行打卡，作为上</w:t>
      </w:r>
      <w:r>
        <w:rPr>
          <w:rFonts w:hint="eastAsia" w:ascii="宋体" w:hAnsi="宋体" w:eastAsia="宋体" w:cs="Times New Roman"/>
          <w:bCs/>
          <w:color w:val="auto"/>
          <w:szCs w:val="21"/>
        </w:rPr>
        <w:t>下</w:t>
      </w:r>
      <w:r>
        <w:rPr>
          <w:rFonts w:ascii="宋体" w:hAnsi="宋体" w:eastAsia="宋体" w:cs="Times New Roman"/>
          <w:bCs/>
          <w:color w:val="auto"/>
          <w:szCs w:val="21"/>
        </w:rPr>
        <w:t>班</w:t>
      </w:r>
      <w:r>
        <w:rPr>
          <w:rFonts w:ascii="宋体" w:hAnsi="宋体" w:eastAsia="宋体" w:cs="Times New Roman"/>
          <w:color w:val="auto"/>
          <w:szCs w:val="21"/>
        </w:rPr>
        <w:t>的记录</w:t>
      </w:r>
      <w:r>
        <w:rPr>
          <w:rFonts w:hint="eastAsia" w:ascii="宋体" w:hAnsi="宋体" w:eastAsia="宋体" w:cs="Times New Roman"/>
          <w:color w:val="auto"/>
          <w:szCs w:val="21"/>
        </w:rPr>
        <w:t>；</w:t>
      </w:r>
    </w:p>
    <w:p>
      <w:pPr>
        <w:numPr>
          <w:ilvl w:val="0"/>
          <w:numId w:val="5"/>
        </w:numPr>
        <w:tabs>
          <w:tab w:val="left" w:pos="709"/>
        </w:tabs>
        <w:spacing w:line="360" w:lineRule="auto"/>
        <w:ind w:left="709" w:hanging="711"/>
        <w:rPr>
          <w:rFonts w:hint="eastAsia" w:ascii="宋体" w:hAnsi="宋体" w:eastAsia="宋体" w:cs="Times New Roman"/>
          <w:bCs/>
          <w:color w:val="auto"/>
          <w:szCs w:val="21"/>
        </w:rPr>
      </w:pPr>
      <w:r>
        <w:rPr>
          <w:rFonts w:ascii="宋体" w:hAnsi="宋体" w:eastAsia="宋体" w:cs="Times New Roman"/>
          <w:bCs/>
          <w:color w:val="auto"/>
          <w:szCs w:val="21"/>
        </w:rPr>
        <w:t>考勤机规定</w:t>
      </w:r>
    </w:p>
    <w:p>
      <w:pPr>
        <w:widowControl/>
        <w:numPr>
          <w:ilvl w:val="0"/>
          <w:numId w:val="6"/>
        </w:numPr>
        <w:spacing w:line="360" w:lineRule="auto"/>
        <w:ind w:left="1134"/>
        <w:jc w:val="left"/>
        <w:outlineLvl w:val="0"/>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公司采用指纹打卡的，员工须每天打2次卡，分别在早上公司规定的上班时间之前、下午公司规定的下班时间之后。考勤设备记录为考勤依据，凡记录在规定的上班时间以后的，均视为迟到，当天最后一次记录在规定的下班时间以前的，均视为早退。员工未经申请批准无故不上班的视为旷工；</w:t>
      </w:r>
    </w:p>
    <w:p>
      <w:pPr>
        <w:widowControl/>
        <w:numPr>
          <w:ilvl w:val="0"/>
          <w:numId w:val="6"/>
        </w:numPr>
        <w:spacing w:line="360" w:lineRule="auto"/>
        <w:ind w:left="1134"/>
        <w:jc w:val="left"/>
        <w:outlineLvl w:val="0"/>
        <w:rPr>
          <w:rFonts w:hint="eastAsia"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highlight w:val="none"/>
        </w:rPr>
        <w:t>员工上下班忘记打卡一次，须提供直属上级领导确认的《考勤审批单》交总裁办公室登记备案。</w:t>
      </w:r>
      <w:r>
        <w:rPr>
          <w:rFonts w:hint="eastAsia" w:ascii="宋体" w:hAnsi="宋体" w:eastAsia="宋体" w:cs="Times New Roman"/>
          <w:snapToGrid w:val="0"/>
          <w:color w:val="auto"/>
          <w:kern w:val="0"/>
          <w:szCs w:val="21"/>
        </w:rPr>
        <w:t>停电或考勤设备无法使用时，员工须及时报总裁办公室进行人工考勤记录备案；</w:t>
      </w:r>
    </w:p>
    <w:p>
      <w:pPr>
        <w:widowControl/>
        <w:numPr>
          <w:ilvl w:val="0"/>
          <w:numId w:val="6"/>
        </w:numPr>
        <w:spacing w:line="360" w:lineRule="auto"/>
        <w:ind w:left="1134"/>
        <w:jc w:val="left"/>
        <w:outlineLvl w:val="0"/>
        <w:rPr>
          <w:rFonts w:hint="eastAsia" w:ascii="宋体" w:hAnsi="宋体" w:eastAsia="宋体" w:cs="Times New Roman"/>
          <w:snapToGrid w:val="0"/>
          <w:color w:val="FF0000"/>
          <w:kern w:val="0"/>
          <w:szCs w:val="21"/>
        </w:rPr>
      </w:pPr>
      <w:r>
        <w:rPr>
          <w:rFonts w:hint="eastAsia" w:ascii="宋体" w:hAnsi="宋体" w:eastAsia="宋体" w:cs="Times New Roman"/>
          <w:snapToGrid w:val="0"/>
          <w:color w:val="FF0000"/>
          <w:kern w:val="0"/>
          <w:szCs w:val="21"/>
        </w:rPr>
        <w:t>公司</w:t>
      </w:r>
      <w:r>
        <w:rPr>
          <w:rFonts w:hint="eastAsia" w:ascii="宋体" w:hAnsi="宋体" w:eastAsia="宋体" w:cs="Times New Roman"/>
          <w:snapToGrid w:val="0"/>
          <w:color w:val="FF0000"/>
          <w:kern w:val="0"/>
          <w:szCs w:val="21"/>
          <w:lang w:eastAsia="zh-CN"/>
        </w:rPr>
        <w:t>项目总监</w:t>
      </w:r>
      <w:r>
        <w:rPr>
          <w:rFonts w:hint="eastAsia" w:ascii="宋体" w:hAnsi="宋体" w:eastAsia="宋体" w:cs="Times New Roman"/>
          <w:snapToGrid w:val="0"/>
          <w:color w:val="FF0000"/>
          <w:kern w:val="0"/>
          <w:szCs w:val="21"/>
        </w:rPr>
        <w:t>级别及以上级别管理岗位人员，无需按规定打卡时间上下班考勤，但每天工作时间不低于8小时。</w:t>
      </w:r>
    </w:p>
    <w:p>
      <w:pPr>
        <w:widowControl/>
        <w:numPr>
          <w:ilvl w:val="0"/>
          <w:numId w:val="6"/>
        </w:numPr>
        <w:spacing w:line="360" w:lineRule="auto"/>
        <w:ind w:left="1134"/>
        <w:jc w:val="left"/>
        <w:outlineLvl w:val="0"/>
        <w:rPr>
          <w:rFonts w:ascii="宋体" w:hAnsi="宋体" w:eastAsia="宋体" w:cs="Times New Roman"/>
          <w:snapToGrid w:val="0"/>
          <w:color w:val="auto"/>
          <w:kern w:val="0"/>
          <w:szCs w:val="21"/>
        </w:rPr>
      </w:pPr>
      <w:r>
        <w:rPr>
          <w:rFonts w:hint="eastAsia" w:ascii="宋体" w:hAnsi="宋体" w:eastAsia="宋体" w:cs="Times New Roman"/>
          <w:snapToGrid w:val="0"/>
          <w:color w:val="auto"/>
          <w:kern w:val="0"/>
          <w:szCs w:val="21"/>
        </w:rPr>
        <w:t>打卡舞弊</w:t>
      </w:r>
      <w:r>
        <w:rPr>
          <w:rFonts w:hint="eastAsia" w:ascii="宋体" w:hAnsi="宋体" w:eastAsia="宋体" w:cs="Times New Roman"/>
          <w:snapToGrid w:val="0"/>
          <w:color w:val="auto"/>
          <w:kern w:val="0"/>
          <w:szCs w:val="21"/>
          <w:lang w:eastAsia="zh-CN"/>
        </w:rPr>
        <w:t>，</w:t>
      </w:r>
      <w:r>
        <w:rPr>
          <w:rFonts w:hint="eastAsia" w:ascii="宋体" w:hAnsi="宋体" w:eastAsia="宋体" w:cs="Times New Roman"/>
          <w:snapToGrid w:val="0"/>
          <w:color w:val="auto"/>
          <w:kern w:val="0"/>
          <w:szCs w:val="21"/>
        </w:rPr>
        <w:t>一经发现处以500元每次罚款，发现两次实行降薪降级处理，三次予以辞退。</w:t>
      </w:r>
    </w:p>
    <w:p>
      <w:pPr>
        <w:numPr>
          <w:ilvl w:val="0"/>
          <w:numId w:val="5"/>
        </w:numPr>
        <w:tabs>
          <w:tab w:val="left" w:pos="709"/>
        </w:tabs>
        <w:spacing w:line="360" w:lineRule="auto"/>
        <w:ind w:left="709" w:hanging="711"/>
        <w:rPr>
          <w:rFonts w:hint="eastAsia" w:ascii="宋体" w:hAnsi="宋体" w:eastAsia="宋体" w:cs="Times New Roman"/>
          <w:bCs/>
          <w:color w:val="auto"/>
          <w:szCs w:val="21"/>
        </w:rPr>
      </w:pPr>
      <w:r>
        <w:rPr>
          <w:rFonts w:hint="eastAsia" w:ascii="宋体" w:hAnsi="宋体" w:eastAsia="宋体" w:cs="Times New Roman"/>
          <w:bCs/>
          <w:color w:val="auto"/>
          <w:szCs w:val="21"/>
        </w:rPr>
        <w:t>原则上公司所有员工需要按规定工作时间到岗位后，方可外出公干。上班时间因公事离开公司，需当面或电话/短信向直接上级汇报批准后，填写《外出（用车）申请表》，完成考勤备案；无故离岗、脱岗首次发现给予警告，发现两次予以降职降薪，三次予以辞退。</w:t>
      </w:r>
    </w:p>
    <w:p>
      <w:pPr>
        <w:numPr>
          <w:ilvl w:val="0"/>
          <w:numId w:val="5"/>
        </w:numPr>
        <w:tabs>
          <w:tab w:val="left" w:pos="709"/>
        </w:tabs>
        <w:spacing w:line="360" w:lineRule="auto"/>
        <w:ind w:left="709" w:hanging="711"/>
        <w:rPr>
          <w:rFonts w:ascii="宋体" w:hAnsi="宋体" w:eastAsia="宋体" w:cs="Times New Roman"/>
          <w:bCs/>
          <w:color w:val="auto"/>
          <w:szCs w:val="21"/>
        </w:rPr>
      </w:pPr>
      <w:r>
        <w:rPr>
          <w:rFonts w:ascii="宋体" w:hAnsi="宋体" w:eastAsia="宋体" w:cs="Times New Roman"/>
          <w:bCs/>
          <w:color w:val="auto"/>
          <w:szCs w:val="21"/>
        </w:rPr>
        <w:t>迟到或早退</w:t>
      </w:r>
      <w:r>
        <w:rPr>
          <w:rFonts w:hint="eastAsia" w:ascii="宋体" w:hAnsi="宋体" w:eastAsia="宋体" w:cs="Times New Roman"/>
          <w:bCs/>
          <w:color w:val="auto"/>
          <w:szCs w:val="21"/>
        </w:rPr>
        <w:t>的</w:t>
      </w:r>
      <w:r>
        <w:rPr>
          <w:rFonts w:ascii="宋体" w:hAnsi="宋体" w:eastAsia="宋体" w:cs="Times New Roman"/>
          <w:bCs/>
          <w:color w:val="auto"/>
          <w:szCs w:val="21"/>
        </w:rPr>
        <w:t>处理</w:t>
      </w:r>
      <w:r>
        <w:rPr>
          <w:rFonts w:hint="eastAsia" w:ascii="宋体" w:hAnsi="宋体" w:eastAsia="宋体" w:cs="Times New Roman"/>
          <w:bCs/>
          <w:color w:val="auto"/>
          <w:szCs w:val="21"/>
          <w:lang w:val="en-US" w:eastAsia="zh-CN"/>
        </w:rPr>
        <w:t>(按月计算）</w:t>
      </w:r>
    </w:p>
    <w:tbl>
      <w:tblPr>
        <w:tblStyle w:val="4"/>
        <w:tblW w:w="7983" w:type="dxa"/>
        <w:jc w:val="center"/>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3"/>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93" w:type="dxa"/>
            <w:shd w:val="clear" w:color="auto" w:fill="BFBFBF"/>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highlight w:val="none"/>
              </w:rPr>
              <w:t>迟到或早退累计时间（T）及次数</w:t>
            </w:r>
            <w:r>
              <w:rPr>
                <w:rFonts w:hint="eastAsia" w:ascii="宋体" w:hAnsi="宋体" w:eastAsia="宋体" w:cs="Times New Roman"/>
                <w:color w:val="auto"/>
                <w:szCs w:val="21"/>
                <w:highlight w:val="none"/>
              </w:rPr>
              <w:t>（C）</w:t>
            </w:r>
          </w:p>
        </w:tc>
        <w:tc>
          <w:tcPr>
            <w:tcW w:w="3990" w:type="dxa"/>
            <w:shd w:val="clear" w:color="auto" w:fill="BFBFBF"/>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93" w:type="dxa"/>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T≤</w:t>
            </w:r>
            <w:r>
              <w:rPr>
                <w:rFonts w:hint="eastAsia" w:ascii="宋体" w:hAnsi="宋体" w:eastAsia="宋体" w:cs="Times New Roman"/>
                <w:color w:val="auto"/>
                <w:szCs w:val="21"/>
              </w:rPr>
              <w:t>30</w:t>
            </w:r>
            <w:r>
              <w:rPr>
                <w:rFonts w:ascii="宋体" w:hAnsi="宋体" w:eastAsia="宋体" w:cs="Times New Roman"/>
                <w:color w:val="auto"/>
                <w:szCs w:val="21"/>
              </w:rPr>
              <w:t>分钟且</w:t>
            </w:r>
            <w:r>
              <w:rPr>
                <w:rFonts w:hint="eastAsia" w:ascii="宋体" w:hAnsi="宋体" w:eastAsia="宋体" w:cs="Times New Roman"/>
                <w:color w:val="auto"/>
                <w:szCs w:val="21"/>
              </w:rPr>
              <w:t>C</w:t>
            </w:r>
            <w:r>
              <w:rPr>
                <w:rFonts w:ascii="宋体" w:hAnsi="宋体" w:eastAsia="宋体" w:cs="Times New Roman"/>
                <w:color w:val="auto"/>
                <w:szCs w:val="21"/>
              </w:rPr>
              <w:t>≤3</w:t>
            </w:r>
          </w:p>
        </w:tc>
        <w:tc>
          <w:tcPr>
            <w:tcW w:w="3990" w:type="dxa"/>
            <w:vAlign w:val="center"/>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93" w:type="dxa"/>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T</w:t>
            </w:r>
            <w:r>
              <w:rPr>
                <w:rFonts w:hint="eastAsia" w:ascii="宋体" w:hAnsi="宋体" w:eastAsia="宋体" w:cs="Times New Roman"/>
                <w:color w:val="auto"/>
                <w:szCs w:val="21"/>
              </w:rPr>
              <w:t>&gt;</w:t>
            </w:r>
            <w:r>
              <w:rPr>
                <w:rFonts w:ascii="宋体" w:hAnsi="宋体" w:eastAsia="宋体" w:cs="Times New Roman"/>
                <w:color w:val="auto"/>
                <w:szCs w:val="21"/>
              </w:rPr>
              <w:t>30分钟或</w:t>
            </w:r>
            <w:r>
              <w:rPr>
                <w:rFonts w:hint="eastAsia" w:ascii="宋体" w:hAnsi="宋体" w:eastAsia="宋体" w:cs="Times New Roman"/>
                <w:color w:val="auto"/>
                <w:szCs w:val="21"/>
              </w:rPr>
              <w:t>C&gt;</w:t>
            </w:r>
            <w:r>
              <w:rPr>
                <w:rFonts w:ascii="宋体" w:hAnsi="宋体" w:eastAsia="宋体" w:cs="Times New Roman"/>
                <w:color w:val="auto"/>
                <w:szCs w:val="21"/>
              </w:rPr>
              <w:t>3</w:t>
            </w:r>
          </w:p>
        </w:tc>
        <w:tc>
          <w:tcPr>
            <w:tcW w:w="3990" w:type="dxa"/>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扣</w:t>
            </w:r>
            <w:r>
              <w:rPr>
                <w:rFonts w:hint="eastAsia" w:ascii="宋体" w:hAnsi="宋体" w:eastAsia="宋体" w:cs="Times New Roman"/>
                <w:color w:val="auto"/>
                <w:szCs w:val="21"/>
              </w:rPr>
              <w:t>减</w:t>
            </w:r>
            <w:r>
              <w:rPr>
                <w:rFonts w:ascii="宋体" w:hAnsi="宋体" w:eastAsia="宋体" w:cs="Times New Roman"/>
                <w:color w:val="auto"/>
                <w:szCs w:val="21"/>
              </w:rPr>
              <w:t>1</w:t>
            </w:r>
            <w:r>
              <w:rPr>
                <w:rFonts w:hint="eastAsia" w:ascii="宋体" w:hAnsi="宋体" w:eastAsia="宋体" w:cs="Times New Roman"/>
                <w:color w:val="auto"/>
                <w:szCs w:val="21"/>
              </w:rPr>
              <w:t>元/每分钟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983" w:type="dxa"/>
            <w:gridSpan w:val="2"/>
            <w:vAlign w:val="center"/>
          </w:tcPr>
          <w:p>
            <w:pPr>
              <w:spacing w:before="50" w:after="50" w:line="440" w:lineRule="exact"/>
              <w:jc w:val="left"/>
              <w:rPr>
                <w:rFonts w:hint="eastAsia" w:ascii="宋体" w:hAnsi="宋体" w:eastAsia="宋体" w:cs="Times New Roman"/>
                <w:color w:val="auto"/>
                <w:szCs w:val="21"/>
              </w:rPr>
            </w:pPr>
            <w:r>
              <w:rPr>
                <w:rFonts w:hint="eastAsia" w:ascii="宋体" w:hAnsi="宋体" w:eastAsia="宋体" w:cs="Times New Roman"/>
                <w:color w:val="auto"/>
                <w:szCs w:val="21"/>
              </w:rPr>
              <w:t>备注：单次超出半小时则按事假处理，需要向上级说明原因并获得批准，否则按旷工计缺勤。</w:t>
            </w:r>
          </w:p>
        </w:tc>
      </w:tr>
    </w:tbl>
    <w:p>
      <w:pPr>
        <w:tabs>
          <w:tab w:val="left" w:pos="709"/>
        </w:tabs>
        <w:snapToGrid w:val="0"/>
        <w:spacing w:line="360" w:lineRule="auto"/>
        <w:ind w:left="706" w:hanging="706" w:hangingChars="335"/>
        <w:contextualSpacing/>
        <w:rPr>
          <w:rFonts w:ascii="宋体" w:hAnsi="宋体" w:eastAsia="宋体" w:cs="Times New Roman"/>
          <w:b/>
          <w:bCs/>
          <w:color w:val="auto"/>
          <w:szCs w:val="21"/>
        </w:rPr>
      </w:pPr>
    </w:p>
    <w:p>
      <w:pPr>
        <w:numPr>
          <w:ilvl w:val="0"/>
          <w:numId w:val="5"/>
        </w:numPr>
        <w:tabs>
          <w:tab w:val="left" w:pos="709"/>
        </w:tabs>
        <w:snapToGrid w:val="0"/>
        <w:spacing w:line="360" w:lineRule="auto"/>
        <w:ind w:left="709" w:hanging="709"/>
        <w:contextualSpacing/>
        <w:rPr>
          <w:rFonts w:ascii="宋体" w:hAnsi="宋体" w:eastAsia="宋体" w:cs="Times New Roman"/>
          <w:bCs/>
          <w:color w:val="auto"/>
          <w:szCs w:val="21"/>
        </w:rPr>
      </w:pPr>
      <w:r>
        <w:rPr>
          <w:rFonts w:ascii="宋体" w:hAnsi="宋体" w:eastAsia="宋体" w:cs="Times New Roman"/>
          <w:bCs/>
          <w:color w:val="auto"/>
          <w:szCs w:val="21"/>
        </w:rPr>
        <w:t>无故</w:t>
      </w:r>
      <w:r>
        <w:rPr>
          <w:rFonts w:hint="eastAsia" w:ascii="宋体" w:hAnsi="宋体" w:eastAsia="宋体" w:cs="Times New Roman"/>
          <w:bCs/>
          <w:color w:val="auto"/>
          <w:szCs w:val="21"/>
        </w:rPr>
        <w:t>缺勤（包括无故不打卡、未办理请假手续或手续未办完离岗者）</w:t>
      </w:r>
      <w:r>
        <w:rPr>
          <w:rFonts w:ascii="宋体" w:hAnsi="宋体" w:eastAsia="宋体" w:cs="Times New Roman"/>
          <w:bCs/>
          <w:color w:val="auto"/>
          <w:szCs w:val="21"/>
        </w:rPr>
        <w:t>按旷工处理，具体措施</w:t>
      </w:r>
      <w:r>
        <w:rPr>
          <w:rFonts w:hint="eastAsia" w:ascii="宋体" w:hAnsi="宋体" w:eastAsia="宋体" w:cs="Times New Roman"/>
          <w:bCs/>
          <w:color w:val="auto"/>
          <w:szCs w:val="21"/>
        </w:rPr>
        <w:t>为：</w:t>
      </w:r>
    </w:p>
    <w:tbl>
      <w:tblPr>
        <w:tblStyle w:val="4"/>
        <w:tblW w:w="7996" w:type="dxa"/>
        <w:jc w:val="center"/>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4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69" w:type="dxa"/>
            <w:shd w:val="clear" w:color="auto" w:fill="BFBFBF"/>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旷工天数（T）</w:t>
            </w:r>
          </w:p>
        </w:tc>
        <w:tc>
          <w:tcPr>
            <w:tcW w:w="4027" w:type="dxa"/>
            <w:shd w:val="clear" w:color="auto" w:fill="BFBFBF"/>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69" w:type="dxa"/>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T</w:t>
            </w:r>
            <w:r>
              <w:rPr>
                <w:rFonts w:hint="eastAsia" w:ascii="宋体" w:hAnsi="宋体" w:eastAsia="宋体" w:cs="Times New Roman"/>
                <w:color w:val="auto"/>
                <w:szCs w:val="21"/>
              </w:rPr>
              <w:t>≤0.</w:t>
            </w:r>
            <w:r>
              <w:rPr>
                <w:rFonts w:ascii="宋体" w:hAnsi="宋体" w:eastAsia="宋体" w:cs="Times New Roman"/>
                <w:color w:val="auto"/>
                <w:szCs w:val="21"/>
              </w:rPr>
              <w:t>5</w:t>
            </w:r>
          </w:p>
        </w:tc>
        <w:tc>
          <w:tcPr>
            <w:tcW w:w="4027" w:type="dxa"/>
            <w:vAlign w:val="center"/>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扣除1日工资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69" w:type="dxa"/>
            <w:vAlign w:val="center"/>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0.</w:t>
            </w:r>
            <w:r>
              <w:rPr>
                <w:rFonts w:ascii="宋体" w:hAnsi="宋体" w:eastAsia="宋体" w:cs="Times New Roman"/>
                <w:color w:val="auto"/>
                <w:szCs w:val="21"/>
              </w:rPr>
              <w:t>5</w:t>
            </w:r>
            <w:r>
              <w:rPr>
                <w:rFonts w:hint="eastAsia" w:ascii="宋体" w:hAnsi="宋体" w:eastAsia="宋体" w:cs="Times New Roman"/>
                <w:color w:val="auto"/>
                <w:szCs w:val="21"/>
              </w:rPr>
              <w:t>&lt;</w:t>
            </w:r>
            <w:r>
              <w:rPr>
                <w:rFonts w:ascii="宋体" w:hAnsi="宋体" w:eastAsia="宋体" w:cs="Times New Roman"/>
                <w:color w:val="auto"/>
                <w:szCs w:val="21"/>
              </w:rPr>
              <w:t>T</w:t>
            </w:r>
            <w:r>
              <w:rPr>
                <w:rFonts w:hint="eastAsia" w:ascii="宋体" w:hAnsi="宋体" w:eastAsia="宋体" w:cs="Times New Roman"/>
                <w:color w:val="auto"/>
                <w:szCs w:val="21"/>
              </w:rPr>
              <w:t>≤1</w:t>
            </w:r>
          </w:p>
        </w:tc>
        <w:tc>
          <w:tcPr>
            <w:tcW w:w="4027" w:type="dxa"/>
            <w:vAlign w:val="center"/>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扣除2日工资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69" w:type="dxa"/>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1&lt;T</w:t>
            </w:r>
            <w:r>
              <w:rPr>
                <w:rFonts w:hint="eastAsia" w:ascii="宋体" w:hAnsi="宋体" w:eastAsia="宋体" w:cs="Times New Roman"/>
                <w:color w:val="auto"/>
                <w:szCs w:val="21"/>
              </w:rPr>
              <w:t>≤2</w:t>
            </w:r>
          </w:p>
        </w:tc>
        <w:tc>
          <w:tcPr>
            <w:tcW w:w="4027" w:type="dxa"/>
            <w:vAlign w:val="center"/>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扣除4日工资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69" w:type="dxa"/>
            <w:vAlign w:val="center"/>
          </w:tcPr>
          <w:p>
            <w:pPr>
              <w:spacing w:before="50" w:after="50" w:line="440" w:lineRule="exact"/>
              <w:jc w:val="center"/>
              <w:rPr>
                <w:rFonts w:ascii="宋体" w:hAnsi="宋体" w:eastAsia="宋体" w:cs="Times New Roman"/>
                <w:color w:val="auto"/>
                <w:szCs w:val="21"/>
              </w:rPr>
            </w:pPr>
            <w:r>
              <w:rPr>
                <w:rFonts w:ascii="宋体" w:hAnsi="宋体" w:eastAsia="宋体" w:cs="Times New Roman"/>
                <w:color w:val="auto"/>
                <w:szCs w:val="21"/>
              </w:rPr>
              <w:t>T≥3</w:t>
            </w:r>
            <w:r>
              <w:rPr>
                <w:rFonts w:hint="eastAsia" w:ascii="宋体" w:hAnsi="宋体" w:eastAsia="宋体" w:cs="Times New Roman"/>
                <w:color w:val="auto"/>
                <w:szCs w:val="21"/>
              </w:rPr>
              <w:t>（包含一个月旷工3天、年度累计五天及以上旷工）</w:t>
            </w:r>
          </w:p>
        </w:tc>
        <w:tc>
          <w:tcPr>
            <w:tcW w:w="4027" w:type="dxa"/>
            <w:vAlign w:val="center"/>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为严重违反公司规章制度的行为，</w:t>
            </w:r>
            <w:r>
              <w:rPr>
                <w:rFonts w:ascii="宋体" w:hAnsi="宋体" w:eastAsia="宋体" w:cs="Times New Roman"/>
                <w:color w:val="auto"/>
                <w:szCs w:val="21"/>
              </w:rPr>
              <w:t>解除劳动合同</w:t>
            </w:r>
            <w:r>
              <w:rPr>
                <w:rFonts w:hint="eastAsia" w:ascii="宋体" w:hAnsi="宋体" w:eastAsia="宋体" w:cs="Times New Roman"/>
                <w:color w:val="auto"/>
                <w:szCs w:val="21"/>
              </w:rPr>
              <w:t>且无需支付经济补偿金</w:t>
            </w:r>
            <w:r>
              <w:rPr>
                <w:rFonts w:ascii="宋体" w:hAnsi="宋体" w:eastAsia="宋体" w:cs="Times New Roman"/>
                <w:color w:val="auto"/>
                <w:szCs w:val="21"/>
              </w:rPr>
              <w:t>。</w:t>
            </w:r>
          </w:p>
        </w:tc>
      </w:tr>
    </w:tbl>
    <w:p>
      <w:pPr>
        <w:tabs>
          <w:tab w:val="left" w:pos="709"/>
        </w:tabs>
        <w:snapToGrid w:val="0"/>
        <w:spacing w:line="360" w:lineRule="auto"/>
        <w:ind w:left="706" w:hanging="706" w:hangingChars="335"/>
        <w:contextualSpacing/>
        <w:rPr>
          <w:rFonts w:ascii="宋体" w:hAnsi="宋体" w:eastAsia="宋体" w:cs="Times New Roman"/>
          <w:b/>
          <w:bCs/>
          <w:color w:val="auto"/>
          <w:szCs w:val="21"/>
        </w:rPr>
      </w:pPr>
    </w:p>
    <w:p>
      <w:pPr>
        <w:numPr>
          <w:ilvl w:val="0"/>
          <w:numId w:val="4"/>
        </w:numPr>
        <w:tabs>
          <w:tab w:val="left" w:pos="709"/>
        </w:tabs>
        <w:spacing w:line="360" w:lineRule="auto"/>
        <w:ind w:left="708" w:hanging="708" w:hangingChars="336"/>
        <w:rPr>
          <w:rFonts w:ascii="宋体" w:hAnsi="宋体" w:eastAsia="宋体" w:cs="Times New Roman"/>
          <w:b/>
          <w:bCs/>
          <w:color w:val="auto"/>
          <w:szCs w:val="21"/>
        </w:rPr>
      </w:pPr>
      <w:r>
        <w:rPr>
          <w:rFonts w:ascii="宋体" w:hAnsi="宋体" w:eastAsia="宋体" w:cs="Times New Roman"/>
          <w:b/>
          <w:bCs/>
          <w:color w:val="auto"/>
          <w:szCs w:val="21"/>
        </w:rPr>
        <w:t>休假管理</w:t>
      </w:r>
    </w:p>
    <w:p>
      <w:pPr>
        <w:numPr>
          <w:ilvl w:val="0"/>
          <w:numId w:val="7"/>
        </w:numPr>
        <w:tabs>
          <w:tab w:val="left" w:pos="709"/>
        </w:tabs>
        <w:spacing w:line="360" w:lineRule="auto"/>
        <w:ind w:left="709" w:hanging="709"/>
        <w:rPr>
          <w:rFonts w:ascii="宋体" w:hAnsi="宋体" w:eastAsia="宋体" w:cs="Times New Roman"/>
          <w:b/>
          <w:bCs/>
          <w:color w:val="auto"/>
          <w:szCs w:val="21"/>
        </w:rPr>
      </w:pPr>
      <w:r>
        <w:rPr>
          <w:rFonts w:ascii="宋体" w:hAnsi="宋体" w:eastAsia="宋体" w:cs="Times New Roman"/>
          <w:b/>
          <w:bCs/>
          <w:color w:val="auto"/>
          <w:szCs w:val="21"/>
        </w:rPr>
        <w:t>法定节日</w:t>
      </w:r>
    </w:p>
    <w:p>
      <w:pPr>
        <w:numPr>
          <w:ilvl w:val="0"/>
          <w:numId w:val="8"/>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按照法律规定，每年法定节日共</w:t>
      </w:r>
      <w:r>
        <w:rPr>
          <w:rFonts w:hint="eastAsia" w:ascii="宋体" w:hAnsi="宋体" w:eastAsia="宋体" w:cs="Times New Roman"/>
          <w:color w:val="auto"/>
          <w:szCs w:val="21"/>
        </w:rPr>
        <w:t>11</w:t>
      </w:r>
      <w:r>
        <w:rPr>
          <w:rFonts w:ascii="宋体" w:hAnsi="宋体" w:eastAsia="宋体" w:cs="Times New Roman"/>
          <w:color w:val="auto"/>
          <w:szCs w:val="21"/>
        </w:rPr>
        <w:t>天，具体如下：</w:t>
      </w:r>
    </w:p>
    <w:p>
      <w:pPr>
        <w:spacing w:line="360" w:lineRule="auto"/>
        <w:ind w:left="708" w:leftChars="337" w:firstLine="1"/>
        <w:rPr>
          <w:rFonts w:ascii="宋体" w:hAnsi="宋体" w:eastAsia="宋体" w:cs="Times New Roman"/>
          <w:color w:val="auto"/>
          <w:kern w:val="0"/>
          <w:szCs w:val="21"/>
        </w:rPr>
      </w:pPr>
      <w:r>
        <w:rPr>
          <w:rFonts w:ascii="宋体" w:hAnsi="宋体" w:eastAsia="宋体" w:cs="Times New Roman"/>
          <w:color w:val="auto"/>
          <w:kern w:val="0"/>
          <w:szCs w:val="21"/>
        </w:rPr>
        <w:t>A</w:t>
      </w:r>
      <w:r>
        <w:rPr>
          <w:rFonts w:hint="eastAsia" w:ascii="宋体" w:hAnsi="宋体" w:eastAsia="宋体" w:cs="Times New Roman"/>
          <w:color w:val="auto"/>
          <w:kern w:val="0"/>
          <w:szCs w:val="21"/>
        </w:rPr>
        <w:t>、</w:t>
      </w:r>
      <w:r>
        <w:rPr>
          <w:rFonts w:ascii="宋体" w:hAnsi="宋体" w:eastAsia="宋体" w:cs="Times New Roman"/>
          <w:color w:val="auto"/>
          <w:kern w:val="0"/>
          <w:szCs w:val="21"/>
        </w:rPr>
        <w:t>元旦放假一天（元月一日）；</w:t>
      </w:r>
    </w:p>
    <w:p>
      <w:pPr>
        <w:spacing w:line="360" w:lineRule="auto"/>
        <w:ind w:left="708" w:leftChars="337" w:firstLine="1"/>
        <w:rPr>
          <w:rFonts w:ascii="宋体" w:hAnsi="宋体" w:eastAsia="宋体" w:cs="Times New Roman"/>
          <w:color w:val="auto"/>
          <w:kern w:val="0"/>
          <w:szCs w:val="21"/>
        </w:rPr>
      </w:pPr>
      <w:r>
        <w:rPr>
          <w:rFonts w:ascii="宋体" w:hAnsi="宋体" w:eastAsia="宋体" w:cs="Times New Roman"/>
          <w:color w:val="auto"/>
          <w:kern w:val="0"/>
          <w:szCs w:val="21"/>
        </w:rPr>
        <w:t>B</w:t>
      </w:r>
      <w:r>
        <w:rPr>
          <w:rFonts w:hint="eastAsia" w:ascii="宋体" w:hAnsi="宋体" w:eastAsia="宋体" w:cs="Times New Roman"/>
          <w:color w:val="auto"/>
          <w:kern w:val="0"/>
          <w:szCs w:val="21"/>
        </w:rPr>
        <w:t>、</w:t>
      </w:r>
      <w:r>
        <w:rPr>
          <w:rFonts w:ascii="宋体" w:hAnsi="宋体" w:eastAsia="宋体" w:cs="Times New Roman"/>
          <w:color w:val="auto"/>
          <w:kern w:val="0"/>
          <w:szCs w:val="21"/>
        </w:rPr>
        <w:t>春节放假三天（</w:t>
      </w:r>
      <w:r>
        <w:rPr>
          <w:rFonts w:hint="eastAsia" w:ascii="宋体" w:hAnsi="宋体" w:eastAsia="宋体" w:cs="Times New Roman"/>
          <w:color w:val="auto"/>
          <w:kern w:val="0"/>
          <w:szCs w:val="21"/>
          <w:lang w:eastAsia="zh-CN"/>
        </w:rPr>
        <w:t>除夕、</w:t>
      </w:r>
      <w:r>
        <w:rPr>
          <w:rFonts w:ascii="宋体" w:hAnsi="宋体" w:eastAsia="宋体" w:cs="Times New Roman"/>
          <w:color w:val="auto"/>
          <w:kern w:val="0"/>
          <w:szCs w:val="21"/>
        </w:rPr>
        <w:t xml:space="preserve">正月初一、初二）； </w:t>
      </w:r>
    </w:p>
    <w:p>
      <w:pPr>
        <w:spacing w:line="360" w:lineRule="auto"/>
        <w:ind w:left="708" w:leftChars="337" w:firstLine="1"/>
        <w:rPr>
          <w:rFonts w:ascii="宋体" w:hAnsi="宋体" w:eastAsia="宋体" w:cs="Times New Roman"/>
          <w:color w:val="auto"/>
          <w:kern w:val="0"/>
          <w:szCs w:val="21"/>
        </w:rPr>
      </w:pPr>
      <w:r>
        <w:rPr>
          <w:rFonts w:ascii="宋体" w:hAnsi="宋体" w:eastAsia="宋体" w:cs="Times New Roman"/>
          <w:color w:val="auto"/>
          <w:kern w:val="0"/>
          <w:szCs w:val="21"/>
        </w:rPr>
        <w:t>C</w:t>
      </w:r>
      <w:r>
        <w:rPr>
          <w:rFonts w:hint="eastAsia" w:ascii="宋体" w:hAnsi="宋体" w:eastAsia="宋体" w:cs="Times New Roman"/>
          <w:color w:val="auto"/>
          <w:kern w:val="0"/>
          <w:szCs w:val="21"/>
        </w:rPr>
        <w:t>、清明节放假一天；</w:t>
      </w:r>
    </w:p>
    <w:p>
      <w:pPr>
        <w:spacing w:line="360" w:lineRule="auto"/>
        <w:ind w:left="708" w:leftChars="337" w:firstLine="1"/>
        <w:rPr>
          <w:rFonts w:ascii="宋体" w:hAnsi="宋体" w:eastAsia="宋体" w:cs="Times New Roman"/>
          <w:color w:val="auto"/>
          <w:kern w:val="0"/>
          <w:szCs w:val="21"/>
        </w:rPr>
      </w:pPr>
      <w:r>
        <w:rPr>
          <w:rFonts w:hint="eastAsia" w:ascii="宋体" w:hAnsi="宋体" w:eastAsia="宋体" w:cs="Times New Roman"/>
          <w:color w:val="auto"/>
          <w:kern w:val="0"/>
          <w:szCs w:val="21"/>
        </w:rPr>
        <w:t>D、“</w:t>
      </w:r>
      <w:r>
        <w:rPr>
          <w:rFonts w:ascii="宋体" w:hAnsi="宋体" w:eastAsia="宋体" w:cs="Times New Roman"/>
          <w:color w:val="auto"/>
          <w:kern w:val="0"/>
          <w:szCs w:val="21"/>
        </w:rPr>
        <w:t>五一</w:t>
      </w:r>
      <w:r>
        <w:rPr>
          <w:rFonts w:hint="eastAsia" w:ascii="宋体" w:hAnsi="宋体" w:eastAsia="宋体" w:cs="Times New Roman"/>
          <w:color w:val="auto"/>
          <w:kern w:val="0"/>
          <w:szCs w:val="21"/>
        </w:rPr>
        <w:t>”</w:t>
      </w:r>
      <w:r>
        <w:rPr>
          <w:rFonts w:ascii="宋体" w:hAnsi="宋体" w:eastAsia="宋体" w:cs="Times New Roman"/>
          <w:color w:val="auto"/>
          <w:kern w:val="0"/>
          <w:szCs w:val="21"/>
        </w:rPr>
        <w:t>国际劳动节放假</w:t>
      </w:r>
      <w:r>
        <w:rPr>
          <w:rFonts w:hint="eastAsia" w:ascii="宋体" w:hAnsi="宋体" w:eastAsia="宋体" w:cs="Times New Roman"/>
          <w:color w:val="auto"/>
          <w:kern w:val="0"/>
          <w:szCs w:val="21"/>
        </w:rPr>
        <w:t>一</w:t>
      </w:r>
      <w:r>
        <w:rPr>
          <w:rFonts w:ascii="宋体" w:hAnsi="宋体" w:eastAsia="宋体" w:cs="Times New Roman"/>
          <w:color w:val="auto"/>
          <w:kern w:val="0"/>
          <w:szCs w:val="21"/>
        </w:rPr>
        <w:t>天（五月一日）；</w:t>
      </w:r>
    </w:p>
    <w:p>
      <w:pPr>
        <w:spacing w:line="360" w:lineRule="auto"/>
        <w:ind w:left="708" w:leftChars="337" w:firstLine="1"/>
        <w:rPr>
          <w:rFonts w:ascii="宋体" w:hAnsi="宋体" w:eastAsia="宋体" w:cs="Times New Roman"/>
          <w:color w:val="auto"/>
          <w:kern w:val="0"/>
          <w:szCs w:val="21"/>
        </w:rPr>
      </w:pPr>
      <w:r>
        <w:rPr>
          <w:rFonts w:hint="eastAsia" w:ascii="宋体" w:hAnsi="宋体" w:eastAsia="宋体" w:cs="Times New Roman"/>
          <w:color w:val="auto"/>
          <w:kern w:val="0"/>
          <w:szCs w:val="21"/>
        </w:rPr>
        <w:t>E、端午节放假一天；</w:t>
      </w:r>
    </w:p>
    <w:p>
      <w:pPr>
        <w:spacing w:line="360" w:lineRule="auto"/>
        <w:ind w:left="708" w:leftChars="337" w:firstLine="1"/>
        <w:rPr>
          <w:rFonts w:ascii="宋体" w:hAnsi="宋体" w:eastAsia="宋体" w:cs="Times New Roman"/>
          <w:color w:val="auto"/>
          <w:kern w:val="0"/>
          <w:szCs w:val="21"/>
        </w:rPr>
      </w:pPr>
      <w:r>
        <w:rPr>
          <w:rFonts w:hint="eastAsia" w:ascii="宋体" w:hAnsi="宋体" w:eastAsia="宋体" w:cs="Times New Roman"/>
          <w:color w:val="auto"/>
          <w:kern w:val="0"/>
          <w:szCs w:val="21"/>
        </w:rPr>
        <w:t>F、中秋节一天（农历八月十五）；</w:t>
      </w:r>
    </w:p>
    <w:p>
      <w:pPr>
        <w:spacing w:line="360" w:lineRule="auto"/>
        <w:ind w:left="708" w:leftChars="337" w:firstLine="1"/>
        <w:rPr>
          <w:rFonts w:ascii="宋体" w:hAnsi="宋体" w:eastAsia="宋体" w:cs="Times New Roman"/>
          <w:color w:val="auto"/>
          <w:kern w:val="0"/>
          <w:szCs w:val="21"/>
        </w:rPr>
      </w:pPr>
      <w:r>
        <w:rPr>
          <w:rFonts w:hint="eastAsia" w:ascii="宋体" w:hAnsi="宋体" w:eastAsia="宋体" w:cs="Times New Roman"/>
          <w:color w:val="auto"/>
          <w:kern w:val="0"/>
          <w:szCs w:val="21"/>
        </w:rPr>
        <w:t>G、</w:t>
      </w:r>
      <w:r>
        <w:rPr>
          <w:rFonts w:ascii="宋体" w:hAnsi="宋体" w:eastAsia="宋体" w:cs="Times New Roman"/>
          <w:color w:val="auto"/>
          <w:kern w:val="0"/>
          <w:szCs w:val="21"/>
        </w:rPr>
        <w:t>国庆节放假三天（十月一、二、三日）；</w:t>
      </w:r>
    </w:p>
    <w:p>
      <w:pPr>
        <w:numPr>
          <w:ilvl w:val="0"/>
          <w:numId w:val="8"/>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元旦、</w:t>
      </w:r>
      <w:r>
        <w:rPr>
          <w:rFonts w:hint="eastAsia" w:ascii="宋体" w:hAnsi="宋体" w:eastAsia="宋体" w:cs="Times New Roman"/>
          <w:color w:val="auto"/>
          <w:szCs w:val="21"/>
        </w:rPr>
        <w:t>“</w:t>
      </w:r>
      <w:r>
        <w:rPr>
          <w:rFonts w:ascii="宋体" w:hAnsi="宋体" w:eastAsia="宋体" w:cs="Times New Roman"/>
          <w:color w:val="auto"/>
          <w:szCs w:val="21"/>
        </w:rPr>
        <w:t>五.一</w:t>
      </w:r>
      <w:r>
        <w:rPr>
          <w:rFonts w:hint="eastAsia" w:ascii="宋体" w:hAnsi="宋体" w:eastAsia="宋体" w:cs="Times New Roman"/>
          <w:color w:val="auto"/>
          <w:szCs w:val="21"/>
        </w:rPr>
        <w:t>”</w:t>
      </w:r>
      <w:r>
        <w:rPr>
          <w:rFonts w:ascii="宋体" w:hAnsi="宋体" w:eastAsia="宋体" w:cs="Times New Roman"/>
          <w:color w:val="auto"/>
          <w:szCs w:val="21"/>
        </w:rPr>
        <w:t>国际劳动节、国庆节、春节如果遇到公休假日，则应如期顺延</w:t>
      </w:r>
      <w:r>
        <w:rPr>
          <w:rFonts w:hint="eastAsia" w:ascii="宋体" w:hAnsi="宋体" w:eastAsia="宋体" w:cs="Times New Roman"/>
          <w:color w:val="auto"/>
          <w:szCs w:val="21"/>
        </w:rPr>
        <w:t>。</w:t>
      </w:r>
    </w:p>
    <w:p>
      <w:pPr>
        <w:numPr>
          <w:ilvl w:val="0"/>
          <w:numId w:val="8"/>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员工按公司具体放假通知进行休假。</w:t>
      </w:r>
    </w:p>
    <w:p>
      <w:pPr>
        <w:numPr>
          <w:ilvl w:val="0"/>
          <w:numId w:val="7"/>
        </w:numPr>
        <w:tabs>
          <w:tab w:val="left" w:pos="709"/>
        </w:tabs>
        <w:spacing w:line="360" w:lineRule="auto"/>
        <w:ind w:left="709" w:hanging="709"/>
        <w:rPr>
          <w:rFonts w:ascii="宋体" w:hAnsi="宋体" w:eastAsia="宋体" w:cs="Times New Roman"/>
          <w:b/>
          <w:bCs/>
          <w:color w:val="auto"/>
          <w:szCs w:val="21"/>
        </w:rPr>
      </w:pPr>
      <w:r>
        <w:rPr>
          <w:rFonts w:ascii="宋体" w:hAnsi="宋体" w:eastAsia="宋体" w:cs="Times New Roman"/>
          <w:b/>
          <w:bCs/>
          <w:color w:val="auto"/>
          <w:szCs w:val="21"/>
        </w:rPr>
        <w:t>年休假</w:t>
      </w:r>
    </w:p>
    <w:p>
      <w:pPr>
        <w:numPr>
          <w:ilvl w:val="0"/>
          <w:numId w:val="9"/>
        </w:numPr>
        <w:spacing w:line="360" w:lineRule="auto"/>
        <w:ind w:left="709" w:hanging="709"/>
        <w:rPr>
          <w:rFonts w:ascii="宋体" w:hAnsi="宋体" w:eastAsia="宋体" w:cs="Times New Roman"/>
          <w:color w:val="auto"/>
          <w:szCs w:val="21"/>
        </w:rPr>
      </w:pPr>
      <w:r>
        <w:rPr>
          <w:rFonts w:hint="eastAsia" w:ascii="宋体" w:hAnsi="宋体" w:eastAsia="宋体" w:cs="Times New Roman"/>
          <w:color w:val="auto"/>
          <w:szCs w:val="21"/>
        </w:rPr>
        <w:t>年休假与工作年限关系表</w:t>
      </w:r>
    </w:p>
    <w:tbl>
      <w:tblPr>
        <w:tblStyle w:val="4"/>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1"/>
        <w:gridCol w:w="4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1"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工作年限</w:t>
            </w:r>
          </w:p>
        </w:tc>
        <w:tc>
          <w:tcPr>
            <w:tcW w:w="4502"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可享受年休假天数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1"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1≤T＜10</w:t>
            </w:r>
          </w:p>
        </w:tc>
        <w:tc>
          <w:tcPr>
            <w:tcW w:w="4502"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5天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1"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10≤T＜20</w:t>
            </w:r>
          </w:p>
        </w:tc>
        <w:tc>
          <w:tcPr>
            <w:tcW w:w="4502"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10天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01"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T≥20</w:t>
            </w:r>
          </w:p>
        </w:tc>
        <w:tc>
          <w:tcPr>
            <w:tcW w:w="4502" w:type="dxa"/>
          </w:tcPr>
          <w:p>
            <w:pPr>
              <w:spacing w:before="50" w:after="50" w:line="440" w:lineRule="exact"/>
              <w:jc w:val="center"/>
              <w:rPr>
                <w:rFonts w:ascii="宋体" w:hAnsi="宋体" w:eastAsia="宋体" w:cs="Times New Roman"/>
                <w:color w:val="auto"/>
                <w:szCs w:val="21"/>
              </w:rPr>
            </w:pPr>
            <w:r>
              <w:rPr>
                <w:rFonts w:hint="eastAsia" w:ascii="宋体" w:hAnsi="宋体" w:eastAsia="宋体" w:cs="Times New Roman"/>
                <w:color w:val="auto"/>
                <w:szCs w:val="21"/>
              </w:rPr>
              <w:t>15天</w:t>
            </w:r>
          </w:p>
        </w:tc>
      </w:tr>
    </w:tbl>
    <w:p>
      <w:pPr>
        <w:numPr>
          <w:ilvl w:val="0"/>
          <w:numId w:val="9"/>
        </w:numPr>
        <w:spacing w:before="50" w:after="50" w:line="440" w:lineRule="exact"/>
        <w:ind w:left="709" w:hanging="709"/>
        <w:rPr>
          <w:rFonts w:ascii="宋体" w:hAnsi="宋体" w:eastAsia="宋体" w:cs="Times New Roman"/>
          <w:color w:val="auto"/>
          <w:szCs w:val="21"/>
        </w:rPr>
      </w:pPr>
      <w:r>
        <w:rPr>
          <w:rFonts w:hint="eastAsia" w:ascii="宋体" w:hAnsi="宋体" w:eastAsia="宋体" w:cs="Times New Roman"/>
          <w:b/>
          <w:color w:val="auto"/>
          <w:szCs w:val="21"/>
        </w:rPr>
        <w:t>新员工入职满一年后</w:t>
      </w:r>
      <w:r>
        <w:rPr>
          <w:rFonts w:hint="eastAsia" w:ascii="宋体" w:hAnsi="宋体" w:eastAsia="宋体" w:cs="Times New Roman"/>
          <w:color w:val="auto"/>
          <w:szCs w:val="21"/>
        </w:rPr>
        <w:t>方可正式休年假，</w:t>
      </w:r>
      <w:r>
        <w:rPr>
          <w:rFonts w:ascii="宋体" w:hAnsi="宋体" w:eastAsia="宋体" w:cs="Times New Roman"/>
          <w:color w:val="auto"/>
          <w:szCs w:val="21"/>
        </w:rPr>
        <w:t>年休假只在当年</w:t>
      </w:r>
      <w:r>
        <w:rPr>
          <w:rFonts w:hint="eastAsia" w:ascii="宋体" w:hAnsi="宋体" w:eastAsia="宋体" w:cs="Times New Roman"/>
          <w:color w:val="auto"/>
          <w:szCs w:val="21"/>
        </w:rPr>
        <w:t>度</w:t>
      </w:r>
      <w:r>
        <w:rPr>
          <w:rFonts w:ascii="宋体" w:hAnsi="宋体" w:eastAsia="宋体" w:cs="Times New Roman"/>
          <w:color w:val="auto"/>
          <w:szCs w:val="21"/>
        </w:rPr>
        <w:t>有效</w:t>
      </w:r>
      <w:r>
        <w:rPr>
          <w:rFonts w:hint="eastAsia" w:ascii="宋体" w:hAnsi="宋体" w:eastAsia="宋体" w:cs="Times New Roman"/>
          <w:color w:val="auto"/>
          <w:szCs w:val="21"/>
        </w:rPr>
        <w:t>。</w:t>
      </w:r>
      <w:r>
        <w:rPr>
          <w:rFonts w:ascii="宋体" w:hAnsi="宋体" w:eastAsia="宋体" w:cs="Times New Roman"/>
          <w:color w:val="auto"/>
          <w:szCs w:val="21"/>
        </w:rPr>
        <w:t>根据工作需要员工可以分开多次休假，但不得提前休假</w:t>
      </w:r>
      <w:r>
        <w:rPr>
          <w:rFonts w:hint="eastAsia" w:ascii="宋体" w:hAnsi="宋体" w:eastAsia="宋体" w:cs="Times New Roman"/>
          <w:color w:val="auto"/>
          <w:szCs w:val="21"/>
        </w:rPr>
        <w:t>。</w:t>
      </w:r>
    </w:p>
    <w:p>
      <w:pPr>
        <w:numPr>
          <w:ilvl w:val="0"/>
          <w:numId w:val="9"/>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员工休年休假期间的法定节日和公休假日不作为年休假计算。</w:t>
      </w:r>
    </w:p>
    <w:p>
      <w:pPr>
        <w:numPr>
          <w:ilvl w:val="0"/>
          <w:numId w:val="9"/>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凡符合以下情况之一者，不享受当年的年休假</w:t>
      </w:r>
      <w:r>
        <w:rPr>
          <w:rFonts w:hint="eastAsia" w:ascii="宋体" w:hAnsi="宋体" w:eastAsia="宋体" w:cs="Times New Roman"/>
          <w:color w:val="auto"/>
          <w:szCs w:val="21"/>
        </w:rPr>
        <w:t>：</w:t>
      </w:r>
    </w:p>
    <w:p>
      <w:pPr>
        <w:numPr>
          <w:ilvl w:val="1"/>
          <w:numId w:val="10"/>
        </w:numPr>
        <w:autoSpaceDE w:val="0"/>
        <w:autoSpaceDN w:val="0"/>
        <w:spacing w:line="360" w:lineRule="auto"/>
        <w:jc w:val="left"/>
        <w:rPr>
          <w:rFonts w:ascii="宋体" w:hAnsi="宋体" w:eastAsia="宋体" w:cs="宋体"/>
          <w:color w:val="FF0000"/>
          <w:kern w:val="0"/>
          <w:szCs w:val="21"/>
          <w:lang w:val="zh-CN"/>
        </w:rPr>
      </w:pPr>
      <w:r>
        <w:rPr>
          <w:rFonts w:hint="eastAsia" w:ascii="宋体" w:hAnsi="宋体" w:eastAsia="宋体" w:cs="宋体"/>
          <w:color w:val="FF0000"/>
          <w:kern w:val="0"/>
          <w:szCs w:val="21"/>
          <w:lang w:val="zh-CN"/>
        </w:rPr>
        <w:t>一年内累计带薪请假超过</w:t>
      </w:r>
      <w:r>
        <w:rPr>
          <w:rFonts w:hint="eastAsia" w:ascii="宋体" w:hAnsi="宋体" w:eastAsia="宋体" w:cs="宋体"/>
          <w:color w:val="FF0000"/>
          <w:kern w:val="0"/>
          <w:szCs w:val="21"/>
          <w:lang w:val="en-US" w:eastAsia="zh-CN"/>
        </w:rPr>
        <w:t>2</w:t>
      </w:r>
      <w:r>
        <w:rPr>
          <w:rFonts w:ascii="宋体" w:hAnsi="宋体" w:eastAsia="宋体" w:cs="宋体"/>
          <w:color w:val="FF0000"/>
          <w:kern w:val="0"/>
          <w:szCs w:val="21"/>
          <w:lang w:val="zh-CN"/>
        </w:rPr>
        <w:t>0</w:t>
      </w:r>
      <w:r>
        <w:rPr>
          <w:rFonts w:hint="eastAsia" w:ascii="宋体" w:hAnsi="宋体" w:eastAsia="宋体" w:cs="宋体"/>
          <w:color w:val="FF0000"/>
          <w:kern w:val="0"/>
          <w:szCs w:val="21"/>
          <w:lang w:val="zh-CN"/>
        </w:rPr>
        <w:t>天（如：婚丧假、病假等）；</w:t>
      </w:r>
    </w:p>
    <w:p>
      <w:pPr>
        <w:numPr>
          <w:ilvl w:val="1"/>
          <w:numId w:val="10"/>
        </w:numPr>
        <w:autoSpaceDE w:val="0"/>
        <w:autoSpaceDN w:val="0"/>
        <w:spacing w:line="360" w:lineRule="auto"/>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累计工作满</w:t>
      </w:r>
      <w:r>
        <w:rPr>
          <w:rFonts w:ascii="宋体" w:hAnsi="宋体" w:eastAsia="宋体" w:cs="宋体"/>
          <w:color w:val="auto"/>
          <w:kern w:val="0"/>
          <w:szCs w:val="21"/>
          <w:lang w:val="zh-CN"/>
        </w:rPr>
        <w:t>1</w:t>
      </w:r>
      <w:r>
        <w:rPr>
          <w:rFonts w:hint="eastAsia" w:ascii="宋体" w:hAnsi="宋体" w:eastAsia="宋体" w:cs="宋体"/>
          <w:color w:val="auto"/>
          <w:kern w:val="0"/>
          <w:szCs w:val="21"/>
          <w:lang w:val="zh-CN"/>
        </w:rPr>
        <w:t>年不满</w:t>
      </w:r>
      <w:r>
        <w:rPr>
          <w:rFonts w:ascii="宋体" w:hAnsi="宋体" w:eastAsia="宋体" w:cs="宋体"/>
          <w:color w:val="auto"/>
          <w:kern w:val="0"/>
          <w:szCs w:val="21"/>
          <w:lang w:val="zh-CN"/>
        </w:rPr>
        <w:t>10</w:t>
      </w:r>
      <w:r>
        <w:rPr>
          <w:rFonts w:hint="eastAsia" w:ascii="宋体" w:hAnsi="宋体" w:eastAsia="宋体" w:cs="宋体"/>
          <w:color w:val="auto"/>
          <w:kern w:val="0"/>
          <w:szCs w:val="21"/>
          <w:lang w:val="zh-CN"/>
        </w:rPr>
        <w:t>年的员工，请病假累计</w:t>
      </w:r>
      <w:r>
        <w:rPr>
          <w:rFonts w:ascii="宋体" w:hAnsi="宋体" w:eastAsia="宋体" w:cs="宋体"/>
          <w:color w:val="auto"/>
          <w:kern w:val="0"/>
          <w:szCs w:val="21"/>
          <w:lang w:val="zh-CN"/>
        </w:rPr>
        <w:t>2</w:t>
      </w:r>
      <w:r>
        <w:rPr>
          <w:rFonts w:hint="eastAsia" w:ascii="宋体" w:hAnsi="宋体" w:eastAsia="宋体" w:cs="宋体"/>
          <w:color w:val="auto"/>
          <w:kern w:val="0"/>
          <w:szCs w:val="21"/>
          <w:lang w:val="zh-CN"/>
        </w:rPr>
        <w:t>个月以上的；</w:t>
      </w:r>
    </w:p>
    <w:p>
      <w:pPr>
        <w:numPr>
          <w:ilvl w:val="1"/>
          <w:numId w:val="10"/>
        </w:numPr>
        <w:autoSpaceDE w:val="0"/>
        <w:autoSpaceDN w:val="0"/>
        <w:spacing w:line="360" w:lineRule="auto"/>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累计工作满</w:t>
      </w:r>
      <w:r>
        <w:rPr>
          <w:rFonts w:ascii="宋体" w:hAnsi="宋体" w:eastAsia="宋体" w:cs="宋体"/>
          <w:color w:val="auto"/>
          <w:kern w:val="0"/>
          <w:szCs w:val="21"/>
          <w:lang w:val="zh-CN"/>
        </w:rPr>
        <w:t>10</w:t>
      </w:r>
      <w:r>
        <w:rPr>
          <w:rFonts w:hint="eastAsia" w:ascii="宋体" w:hAnsi="宋体" w:eastAsia="宋体" w:cs="宋体"/>
          <w:color w:val="auto"/>
          <w:kern w:val="0"/>
          <w:szCs w:val="21"/>
          <w:lang w:val="zh-CN"/>
        </w:rPr>
        <w:t>年不满</w:t>
      </w:r>
      <w:r>
        <w:rPr>
          <w:rFonts w:ascii="宋体" w:hAnsi="宋体" w:eastAsia="宋体" w:cs="宋体"/>
          <w:color w:val="auto"/>
          <w:kern w:val="0"/>
          <w:szCs w:val="21"/>
          <w:lang w:val="zh-CN"/>
        </w:rPr>
        <w:t>20</w:t>
      </w:r>
      <w:r>
        <w:rPr>
          <w:rFonts w:hint="eastAsia" w:ascii="宋体" w:hAnsi="宋体" w:eastAsia="宋体" w:cs="宋体"/>
          <w:color w:val="auto"/>
          <w:kern w:val="0"/>
          <w:szCs w:val="21"/>
          <w:lang w:val="zh-CN"/>
        </w:rPr>
        <w:t>年的员工，请病假累计</w:t>
      </w:r>
      <w:r>
        <w:rPr>
          <w:rFonts w:ascii="宋体" w:hAnsi="宋体" w:eastAsia="宋体" w:cs="宋体"/>
          <w:color w:val="auto"/>
          <w:kern w:val="0"/>
          <w:szCs w:val="21"/>
          <w:lang w:val="zh-CN"/>
        </w:rPr>
        <w:t>3</w:t>
      </w:r>
      <w:r>
        <w:rPr>
          <w:rFonts w:hint="eastAsia" w:ascii="宋体" w:hAnsi="宋体" w:eastAsia="宋体" w:cs="宋体"/>
          <w:color w:val="auto"/>
          <w:kern w:val="0"/>
          <w:szCs w:val="21"/>
          <w:lang w:val="zh-CN"/>
        </w:rPr>
        <w:t>个月以上的；</w:t>
      </w:r>
    </w:p>
    <w:p>
      <w:pPr>
        <w:numPr>
          <w:ilvl w:val="1"/>
          <w:numId w:val="10"/>
        </w:numPr>
        <w:autoSpaceDE w:val="0"/>
        <w:autoSpaceDN w:val="0"/>
        <w:spacing w:line="360" w:lineRule="auto"/>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累计工作满</w:t>
      </w:r>
      <w:r>
        <w:rPr>
          <w:rFonts w:ascii="宋体" w:hAnsi="宋体" w:eastAsia="宋体" w:cs="宋体"/>
          <w:color w:val="auto"/>
          <w:kern w:val="0"/>
          <w:szCs w:val="21"/>
          <w:lang w:val="zh-CN"/>
        </w:rPr>
        <w:t>20</w:t>
      </w:r>
      <w:r>
        <w:rPr>
          <w:rFonts w:hint="eastAsia" w:ascii="宋体" w:hAnsi="宋体" w:eastAsia="宋体" w:cs="宋体"/>
          <w:color w:val="auto"/>
          <w:kern w:val="0"/>
          <w:szCs w:val="21"/>
          <w:lang w:val="zh-CN"/>
        </w:rPr>
        <w:t>年以上的员工，请病假累计</w:t>
      </w:r>
      <w:r>
        <w:rPr>
          <w:rFonts w:ascii="宋体" w:hAnsi="宋体" w:eastAsia="宋体" w:cs="宋体"/>
          <w:color w:val="auto"/>
          <w:kern w:val="0"/>
          <w:szCs w:val="21"/>
          <w:lang w:val="zh-CN"/>
        </w:rPr>
        <w:t>4</w:t>
      </w:r>
      <w:r>
        <w:rPr>
          <w:rFonts w:hint="eastAsia" w:ascii="宋体" w:hAnsi="宋体" w:eastAsia="宋体" w:cs="宋体"/>
          <w:color w:val="auto"/>
          <w:kern w:val="0"/>
          <w:szCs w:val="21"/>
          <w:lang w:val="zh-CN"/>
        </w:rPr>
        <w:t>个月以上的；</w:t>
      </w:r>
    </w:p>
    <w:p>
      <w:pPr>
        <w:numPr>
          <w:ilvl w:val="1"/>
          <w:numId w:val="10"/>
        </w:numPr>
        <w:autoSpaceDE w:val="0"/>
        <w:autoSpaceDN w:val="0"/>
        <w:spacing w:line="360" w:lineRule="auto"/>
        <w:jc w:val="left"/>
        <w:rPr>
          <w:rFonts w:ascii="宋体" w:hAnsi="宋体" w:eastAsia="宋体" w:cs="宋体"/>
          <w:color w:val="auto"/>
          <w:kern w:val="0"/>
          <w:szCs w:val="21"/>
          <w:lang w:val="zh-CN"/>
        </w:rPr>
      </w:pPr>
      <w:r>
        <w:rPr>
          <w:rFonts w:hint="eastAsia" w:ascii="宋体" w:hAnsi="宋体" w:eastAsia="宋体" w:cs="宋体"/>
          <w:color w:val="auto"/>
          <w:kern w:val="0"/>
          <w:szCs w:val="21"/>
          <w:lang w:val="zh-CN"/>
        </w:rPr>
        <w:t>如在年休假后再请病假、事假超过上述规定时间的，则在下一年度取消年休假。</w:t>
      </w:r>
    </w:p>
    <w:p>
      <w:pPr>
        <w:numPr>
          <w:ilvl w:val="0"/>
          <w:numId w:val="9"/>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年休假期间发放全额</w:t>
      </w:r>
      <w:r>
        <w:rPr>
          <w:rFonts w:hint="eastAsia" w:ascii="宋体" w:hAnsi="宋体" w:eastAsia="宋体" w:cs="Times New Roman"/>
          <w:color w:val="auto"/>
          <w:szCs w:val="21"/>
        </w:rPr>
        <w:t>工资</w:t>
      </w:r>
      <w:r>
        <w:rPr>
          <w:rFonts w:ascii="宋体" w:hAnsi="宋体" w:eastAsia="宋体" w:cs="Times New Roman"/>
          <w:color w:val="auto"/>
          <w:szCs w:val="21"/>
        </w:rPr>
        <w:t>，公司不报销任何费用。</w:t>
      </w:r>
    </w:p>
    <w:p>
      <w:pPr>
        <w:numPr>
          <w:ilvl w:val="0"/>
          <w:numId w:val="7"/>
        </w:numPr>
        <w:tabs>
          <w:tab w:val="left" w:pos="709"/>
        </w:tabs>
        <w:spacing w:line="360" w:lineRule="auto"/>
        <w:rPr>
          <w:rFonts w:ascii="宋体" w:hAnsi="宋体" w:eastAsia="宋体" w:cs="Times New Roman"/>
          <w:b/>
          <w:bCs/>
          <w:color w:val="auto"/>
          <w:szCs w:val="21"/>
        </w:rPr>
      </w:pPr>
      <w:r>
        <w:rPr>
          <w:rFonts w:ascii="宋体" w:hAnsi="宋体" w:eastAsia="宋体" w:cs="Times New Roman"/>
          <w:b/>
          <w:bCs/>
          <w:color w:val="auto"/>
          <w:szCs w:val="21"/>
        </w:rPr>
        <w:t>婚假</w:t>
      </w:r>
    </w:p>
    <w:p>
      <w:pPr>
        <w:numPr>
          <w:ilvl w:val="0"/>
          <w:numId w:val="11"/>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公司对依照国家婚姻法履行正式结婚登记手续的转正员工，给予</w:t>
      </w:r>
      <w:r>
        <w:rPr>
          <w:rFonts w:hint="eastAsia" w:ascii="宋体" w:hAnsi="宋体" w:eastAsia="宋体" w:cs="Times New Roman"/>
          <w:color w:val="auto"/>
          <w:szCs w:val="21"/>
          <w:lang w:val="en-US" w:eastAsia="zh-CN"/>
        </w:rPr>
        <w:t>10</w:t>
      </w:r>
      <w:r>
        <w:rPr>
          <w:rFonts w:ascii="宋体" w:hAnsi="宋体" w:eastAsia="宋体" w:cs="Times New Roman"/>
          <w:color w:val="auto"/>
          <w:szCs w:val="21"/>
        </w:rPr>
        <w:t>天婚假。</w:t>
      </w:r>
    </w:p>
    <w:p>
      <w:pPr>
        <w:numPr>
          <w:ilvl w:val="0"/>
          <w:numId w:val="11"/>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婚假自结婚登记之日起半年内有效。</w:t>
      </w:r>
    </w:p>
    <w:p>
      <w:pPr>
        <w:numPr>
          <w:ilvl w:val="0"/>
          <w:numId w:val="11"/>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休婚假期间发放全额</w:t>
      </w:r>
      <w:r>
        <w:rPr>
          <w:rFonts w:hint="eastAsia" w:ascii="宋体" w:hAnsi="宋体" w:eastAsia="宋体" w:cs="Times New Roman"/>
          <w:color w:val="auto"/>
          <w:szCs w:val="21"/>
        </w:rPr>
        <w:t>工资</w:t>
      </w:r>
      <w:r>
        <w:rPr>
          <w:rFonts w:ascii="宋体" w:hAnsi="宋体" w:eastAsia="宋体" w:cs="Times New Roman"/>
          <w:color w:val="auto"/>
          <w:szCs w:val="21"/>
        </w:rPr>
        <w:t>。</w:t>
      </w:r>
    </w:p>
    <w:p>
      <w:pPr>
        <w:numPr>
          <w:ilvl w:val="0"/>
          <w:numId w:val="7"/>
        </w:numPr>
        <w:tabs>
          <w:tab w:val="left" w:pos="709"/>
        </w:tabs>
        <w:spacing w:line="360" w:lineRule="auto"/>
        <w:ind w:left="709" w:hanging="709"/>
        <w:rPr>
          <w:rFonts w:ascii="宋体" w:hAnsi="宋体" w:eastAsia="宋体" w:cs="Times New Roman"/>
          <w:b/>
          <w:bCs/>
          <w:color w:val="auto"/>
          <w:szCs w:val="21"/>
        </w:rPr>
      </w:pPr>
      <w:r>
        <w:rPr>
          <w:rFonts w:ascii="宋体" w:hAnsi="宋体" w:eastAsia="宋体" w:cs="Times New Roman"/>
          <w:b/>
          <w:bCs/>
          <w:color w:val="auto"/>
          <w:szCs w:val="21"/>
        </w:rPr>
        <w:t>丧假</w:t>
      </w:r>
    </w:p>
    <w:p>
      <w:pPr>
        <w:numPr>
          <w:ilvl w:val="0"/>
          <w:numId w:val="12"/>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员工的直系亲属（父母、配偶、子女）及配偶的父母死亡，给予3天丧假。</w:t>
      </w:r>
    </w:p>
    <w:p>
      <w:pPr>
        <w:numPr>
          <w:ilvl w:val="0"/>
          <w:numId w:val="12"/>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员工休丧假期间法定节日和公休假日作为丧假计算，不得从丧假中剔除。</w:t>
      </w:r>
    </w:p>
    <w:p>
      <w:pPr>
        <w:numPr>
          <w:ilvl w:val="0"/>
          <w:numId w:val="12"/>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休丧假期间发放全额</w:t>
      </w:r>
      <w:r>
        <w:rPr>
          <w:rFonts w:hint="eastAsia" w:ascii="宋体" w:hAnsi="宋体" w:eastAsia="宋体" w:cs="Times New Roman"/>
          <w:color w:val="auto"/>
          <w:szCs w:val="21"/>
        </w:rPr>
        <w:t>工资</w:t>
      </w:r>
      <w:r>
        <w:rPr>
          <w:rFonts w:ascii="宋体" w:hAnsi="宋体" w:eastAsia="宋体" w:cs="Times New Roman"/>
          <w:color w:val="auto"/>
          <w:szCs w:val="21"/>
        </w:rPr>
        <w:t xml:space="preserve">。 </w:t>
      </w:r>
    </w:p>
    <w:p>
      <w:pPr>
        <w:numPr>
          <w:ilvl w:val="0"/>
          <w:numId w:val="7"/>
        </w:numPr>
        <w:tabs>
          <w:tab w:val="left" w:pos="709"/>
        </w:tabs>
        <w:spacing w:line="360" w:lineRule="auto"/>
        <w:rPr>
          <w:rFonts w:ascii="宋体" w:hAnsi="宋体" w:eastAsia="宋体" w:cs="Times New Roman"/>
          <w:b/>
          <w:bCs/>
          <w:color w:val="auto"/>
          <w:szCs w:val="21"/>
        </w:rPr>
      </w:pPr>
      <w:r>
        <w:rPr>
          <w:rFonts w:ascii="宋体" w:hAnsi="宋体" w:eastAsia="宋体" w:cs="Times New Roman"/>
          <w:b/>
          <w:bCs/>
          <w:color w:val="auto"/>
          <w:szCs w:val="21"/>
        </w:rPr>
        <w:t>产假、哺乳假、看护假</w:t>
      </w:r>
    </w:p>
    <w:p>
      <w:pPr>
        <w:numPr>
          <w:numId w:val="0"/>
        </w:numPr>
        <w:spacing w:line="360" w:lineRule="auto"/>
        <w:ind w:left="840" w:leftChars="0" w:hanging="840" w:hangingChars="400"/>
        <w:rPr>
          <w:rFonts w:ascii="宋体" w:hAnsi="宋体" w:eastAsia="宋体" w:cs="Times New Roman"/>
          <w:color w:val="auto"/>
          <w:szCs w:val="21"/>
        </w:rPr>
      </w:pPr>
      <w:r>
        <w:rPr>
          <w:rFonts w:hint="eastAsia" w:ascii="宋体" w:hAnsi="宋体" w:eastAsia="宋体" w:cs="Times New Roman"/>
          <w:color w:val="auto"/>
          <w:szCs w:val="21"/>
          <w:lang w:val="en-US" w:eastAsia="zh-CN"/>
        </w:rPr>
        <w:t xml:space="preserve">6.5.1  </w:t>
      </w:r>
      <w:r>
        <w:rPr>
          <w:rFonts w:hint="eastAsia" w:ascii="宋体" w:hAnsi="宋体" w:eastAsia="宋体" w:cs="Times New Roman"/>
          <w:color w:val="auto"/>
          <w:szCs w:val="21"/>
          <w:lang w:eastAsia="zh-CN"/>
        </w:rPr>
        <w:t>按北京市相关规定，</w:t>
      </w:r>
      <w:r>
        <w:rPr>
          <w:rFonts w:ascii="宋体" w:hAnsi="宋体" w:eastAsia="宋体" w:cs="Times New Roman"/>
          <w:color w:val="auto"/>
          <w:szCs w:val="21"/>
        </w:rPr>
        <w:t>正式</w:t>
      </w:r>
      <w:r>
        <w:rPr>
          <w:rFonts w:hint="eastAsia" w:ascii="宋体" w:hAnsi="宋体" w:eastAsia="宋体" w:cs="Times New Roman"/>
          <w:color w:val="auto"/>
          <w:szCs w:val="21"/>
          <w:lang w:eastAsia="zh-CN"/>
        </w:rPr>
        <w:t>女</w:t>
      </w:r>
      <w:r>
        <w:rPr>
          <w:rFonts w:ascii="宋体" w:hAnsi="宋体" w:eastAsia="宋体" w:cs="Times New Roman"/>
          <w:color w:val="auto"/>
          <w:szCs w:val="21"/>
        </w:rPr>
        <w:t>员工生育可享受</w:t>
      </w:r>
      <w:r>
        <w:rPr>
          <w:rFonts w:hint="eastAsia" w:ascii="宋体" w:hAnsi="宋体" w:eastAsia="宋体" w:cs="Times New Roman"/>
          <w:color w:val="auto"/>
          <w:szCs w:val="21"/>
        </w:rPr>
        <w:t>98</w:t>
      </w:r>
      <w:r>
        <w:rPr>
          <w:rFonts w:ascii="宋体" w:hAnsi="宋体" w:eastAsia="宋体" w:cs="Times New Roman"/>
          <w:color w:val="auto"/>
          <w:szCs w:val="21"/>
        </w:rPr>
        <w:t>天产假</w:t>
      </w:r>
      <w:r>
        <w:rPr>
          <w:rFonts w:hint="eastAsia" w:ascii="宋体" w:hAnsi="宋体" w:eastAsia="宋体" w:cs="Times New Roman"/>
          <w:color w:val="auto"/>
          <w:szCs w:val="21"/>
          <w:lang w:eastAsia="zh-CN"/>
        </w:rPr>
        <w:t>，增加奖励假</w:t>
      </w:r>
      <w:r>
        <w:rPr>
          <w:rFonts w:hint="eastAsia" w:ascii="宋体" w:hAnsi="宋体" w:eastAsia="宋体" w:cs="Times New Roman"/>
          <w:color w:val="auto"/>
          <w:szCs w:val="21"/>
          <w:lang w:val="en-US" w:eastAsia="zh-CN"/>
        </w:rPr>
        <w:t>30天</w:t>
      </w:r>
      <w:r>
        <w:rPr>
          <w:rFonts w:ascii="宋体" w:hAnsi="宋体" w:eastAsia="宋体" w:cs="Times New Roman"/>
          <w:color w:val="auto"/>
          <w:szCs w:val="21"/>
        </w:rPr>
        <w:t>（其中产前15天）；难产者增加</w:t>
      </w:r>
      <w:r>
        <w:rPr>
          <w:rFonts w:hint="eastAsia" w:ascii="宋体" w:hAnsi="宋体" w:eastAsia="宋体" w:cs="Times New Roman"/>
          <w:color w:val="auto"/>
          <w:szCs w:val="21"/>
          <w:lang w:val="en-US" w:eastAsia="zh-CN"/>
        </w:rPr>
        <w:t>15</w:t>
      </w:r>
      <w:r>
        <w:rPr>
          <w:rFonts w:ascii="宋体" w:hAnsi="宋体" w:eastAsia="宋体" w:cs="Times New Roman"/>
          <w:color w:val="auto"/>
          <w:szCs w:val="21"/>
        </w:rPr>
        <w:t>天产假</w:t>
      </w:r>
      <w:r>
        <w:rPr>
          <w:rFonts w:hint="eastAsia" w:ascii="宋体" w:hAnsi="宋体" w:eastAsia="宋体" w:cs="Times New Roman"/>
          <w:color w:val="auto"/>
          <w:szCs w:val="21"/>
        </w:rPr>
        <w:t>（医学证明）</w:t>
      </w:r>
      <w:r>
        <w:rPr>
          <w:rFonts w:ascii="宋体" w:hAnsi="宋体" w:eastAsia="宋体" w:cs="Times New Roman"/>
          <w:color w:val="auto"/>
          <w:szCs w:val="21"/>
        </w:rPr>
        <w:t>；多胞胎生育的，每多生育一胎，增加15天产假</w:t>
      </w:r>
      <w:r>
        <w:rPr>
          <w:rFonts w:hint="eastAsia" w:ascii="宋体" w:hAnsi="宋体" w:eastAsia="宋体" w:cs="Times New Roman"/>
          <w:color w:val="auto"/>
          <w:szCs w:val="21"/>
        </w:rPr>
        <w:t>。怀孕未满4个月流产的，15天；怀孕满4个月流产的，42天。</w:t>
      </w:r>
      <w:r>
        <w:rPr>
          <w:rFonts w:hint="eastAsia" w:ascii="宋体" w:hAnsi="宋体" w:eastAsia="宋体" w:cs="Times New Roman"/>
          <w:color w:val="auto"/>
          <w:szCs w:val="21"/>
          <w:lang w:eastAsia="zh-CN"/>
        </w:rPr>
        <w:t>正式</w:t>
      </w:r>
      <w:r>
        <w:rPr>
          <w:rFonts w:ascii="宋体" w:hAnsi="宋体" w:eastAsia="宋体" w:cs="Times New Roman"/>
          <w:color w:val="auto"/>
          <w:szCs w:val="21"/>
        </w:rPr>
        <w:t>男员工</w:t>
      </w:r>
      <w:r>
        <w:rPr>
          <w:rFonts w:hint="eastAsia" w:ascii="宋体" w:hAnsi="宋体" w:eastAsia="宋体" w:cs="Times New Roman"/>
          <w:color w:val="auto"/>
          <w:szCs w:val="21"/>
        </w:rPr>
        <w:t>可凭小孩出生证明</w:t>
      </w:r>
      <w:r>
        <w:rPr>
          <w:rFonts w:ascii="宋体" w:hAnsi="宋体" w:eastAsia="宋体" w:cs="Times New Roman"/>
          <w:color w:val="auto"/>
          <w:szCs w:val="21"/>
        </w:rPr>
        <w:t>享受15天看护假。</w:t>
      </w:r>
    </w:p>
    <w:p>
      <w:pPr>
        <w:numPr>
          <w:numId w:val="0"/>
        </w:numPr>
        <w:spacing w:line="360" w:lineRule="auto"/>
        <w:ind w:left="630" w:leftChars="0" w:hanging="630" w:hangingChars="300"/>
        <w:rPr>
          <w:rFonts w:ascii="宋体" w:hAnsi="宋体" w:eastAsia="宋体" w:cs="Times New Roman"/>
          <w:color w:val="auto"/>
          <w:szCs w:val="21"/>
        </w:rPr>
      </w:pPr>
      <w:r>
        <w:rPr>
          <w:rFonts w:hint="eastAsia" w:ascii="宋体" w:hAnsi="宋体" w:eastAsia="宋体" w:cs="Times New Roman"/>
          <w:color w:val="auto"/>
          <w:szCs w:val="21"/>
          <w:lang w:val="en-US" w:eastAsia="zh-CN"/>
        </w:rPr>
        <w:t xml:space="preserve">6.5.2  </w:t>
      </w:r>
      <w:r>
        <w:rPr>
          <w:rFonts w:ascii="宋体" w:hAnsi="宋体" w:eastAsia="宋体" w:cs="Times New Roman"/>
          <w:color w:val="auto"/>
          <w:szCs w:val="21"/>
        </w:rPr>
        <w:t>员工休产假期间法定节日和公休假日作为产假计算，不得从产假中剔除。</w:t>
      </w:r>
    </w:p>
    <w:p>
      <w:pPr>
        <w:numPr>
          <w:numId w:val="0"/>
        </w:numPr>
        <w:spacing w:line="360" w:lineRule="auto"/>
        <w:ind w:left="630" w:leftChars="0" w:hanging="630" w:hangingChars="300"/>
        <w:rPr>
          <w:rFonts w:ascii="宋体" w:hAnsi="宋体" w:eastAsia="宋体" w:cs="Times New Roman"/>
          <w:color w:val="auto"/>
          <w:szCs w:val="21"/>
        </w:rPr>
      </w:pPr>
      <w:r>
        <w:rPr>
          <w:rFonts w:hint="eastAsia" w:ascii="宋体" w:hAnsi="宋体" w:eastAsia="宋体" w:cs="Times New Roman"/>
          <w:color w:val="auto"/>
          <w:szCs w:val="21"/>
          <w:lang w:val="en-US" w:eastAsia="zh-CN"/>
        </w:rPr>
        <w:t xml:space="preserve">6.5.3  </w:t>
      </w:r>
      <w:r>
        <w:rPr>
          <w:rFonts w:ascii="宋体" w:hAnsi="宋体" w:eastAsia="宋体" w:cs="Times New Roman"/>
          <w:color w:val="auto"/>
          <w:szCs w:val="21"/>
        </w:rPr>
        <w:t>产假和看护假期间按</w:t>
      </w:r>
      <w:r>
        <w:rPr>
          <w:rFonts w:hint="eastAsia" w:ascii="宋体" w:hAnsi="宋体" w:eastAsia="宋体" w:cs="Times New Roman"/>
          <w:color w:val="auto"/>
          <w:szCs w:val="21"/>
        </w:rPr>
        <w:t>北京市</w:t>
      </w:r>
      <w:r>
        <w:rPr>
          <w:rFonts w:ascii="宋体" w:hAnsi="宋体" w:eastAsia="宋体" w:cs="Times New Roman"/>
          <w:color w:val="auto"/>
          <w:szCs w:val="21"/>
        </w:rPr>
        <w:t>劳动、计划生育等政策法规发放工资和福利待遇。</w:t>
      </w:r>
    </w:p>
    <w:p>
      <w:pPr>
        <w:numPr>
          <w:numId w:val="0"/>
        </w:numPr>
        <w:spacing w:line="360" w:lineRule="auto"/>
        <w:ind w:left="840" w:leftChars="0" w:hanging="840" w:hangingChars="400"/>
        <w:rPr>
          <w:rFonts w:ascii="宋体" w:hAnsi="宋体" w:eastAsia="宋体" w:cs="Times New Roman"/>
          <w:color w:val="auto"/>
          <w:szCs w:val="21"/>
        </w:rPr>
      </w:pPr>
      <w:r>
        <w:rPr>
          <w:rFonts w:hint="eastAsia" w:ascii="宋体" w:hAnsi="宋体" w:eastAsia="宋体" w:cs="Times New Roman"/>
          <w:color w:val="auto"/>
          <w:szCs w:val="21"/>
          <w:lang w:val="en-US" w:eastAsia="zh-CN"/>
        </w:rPr>
        <w:t xml:space="preserve">6.5.4  </w:t>
      </w:r>
      <w:r>
        <w:rPr>
          <w:rFonts w:ascii="宋体" w:hAnsi="宋体" w:eastAsia="宋体" w:cs="Times New Roman"/>
          <w:color w:val="auto"/>
          <w:szCs w:val="21"/>
        </w:rPr>
        <w:t xml:space="preserve">若因身体原因，产假结束后，仍不能上班者，必须在产假结束前一周，向公司递交病假证明，履行病假手续。凡产假期满后才申请病假及擅自休假者，对其事后补请假手续一律不予承认，按旷工处理。 </w:t>
      </w:r>
    </w:p>
    <w:p>
      <w:pPr>
        <w:numPr>
          <w:numId w:val="0"/>
        </w:numPr>
        <w:spacing w:line="360" w:lineRule="auto"/>
        <w:ind w:left="840" w:leftChars="0" w:hanging="840" w:hangingChars="400"/>
        <w:rPr>
          <w:rFonts w:ascii="宋体" w:hAnsi="宋体" w:eastAsia="宋体" w:cs="Times New Roman"/>
          <w:color w:val="auto"/>
          <w:szCs w:val="21"/>
        </w:rPr>
      </w:pPr>
      <w:r>
        <w:rPr>
          <w:rFonts w:hint="eastAsia" w:ascii="宋体" w:hAnsi="宋体" w:eastAsia="宋体" w:cs="Times New Roman"/>
          <w:color w:val="auto"/>
          <w:szCs w:val="21"/>
          <w:lang w:val="en-US" w:eastAsia="zh-CN"/>
        </w:rPr>
        <w:t xml:space="preserve">6.5.5  </w:t>
      </w:r>
      <w:r>
        <w:rPr>
          <w:rFonts w:ascii="宋体" w:hAnsi="宋体" w:eastAsia="宋体" w:cs="Times New Roman"/>
          <w:color w:val="auto"/>
          <w:szCs w:val="21"/>
        </w:rPr>
        <w:t xml:space="preserve">对于婴儿在一周岁以内的女员工，上班时间每天可安排两次哺乳，每次30分钟，可根据实际情况将两次哺乳时间合并使用。 </w:t>
      </w:r>
    </w:p>
    <w:p>
      <w:pPr>
        <w:numPr>
          <w:ilvl w:val="0"/>
          <w:numId w:val="7"/>
        </w:numPr>
        <w:tabs>
          <w:tab w:val="left" w:pos="709"/>
        </w:tabs>
        <w:spacing w:line="360" w:lineRule="auto"/>
        <w:ind w:left="709" w:hanging="709"/>
        <w:rPr>
          <w:rFonts w:ascii="宋体" w:hAnsi="宋体" w:eastAsia="宋体" w:cs="Times New Roman"/>
          <w:b/>
          <w:color w:val="auto"/>
          <w:szCs w:val="21"/>
        </w:rPr>
      </w:pPr>
      <w:r>
        <w:rPr>
          <w:rFonts w:ascii="宋体" w:hAnsi="宋体" w:eastAsia="宋体" w:cs="Times New Roman"/>
          <w:b/>
          <w:bCs/>
          <w:color w:val="auto"/>
          <w:szCs w:val="21"/>
        </w:rPr>
        <w:t>病假及非因工负伤假</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公司对因病或非因工负伤停止工作医疗的员工实行有薪病假制度。</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员工请病假必须提供医院证明，</w:t>
      </w:r>
      <w:r>
        <w:rPr>
          <w:rFonts w:hint="eastAsia" w:ascii="宋体" w:hAnsi="宋体" w:eastAsia="宋体" w:cs="Times New Roman"/>
          <w:color w:val="auto"/>
          <w:szCs w:val="21"/>
        </w:rPr>
        <w:t>休</w:t>
      </w:r>
      <w:r>
        <w:rPr>
          <w:rFonts w:ascii="宋体" w:hAnsi="宋体" w:eastAsia="宋体" w:cs="Times New Roman"/>
          <w:color w:val="auto"/>
          <w:szCs w:val="21"/>
        </w:rPr>
        <w:t>1</w:t>
      </w:r>
      <w:r>
        <w:rPr>
          <w:rFonts w:hint="eastAsia" w:ascii="宋体" w:hAnsi="宋体" w:eastAsia="宋体" w:cs="Times New Roman"/>
          <w:color w:val="auto"/>
          <w:szCs w:val="21"/>
        </w:rPr>
        <w:t>天以内病假的，应提供社康医院及社康医院以上级别医院出具的收费单；2-</w:t>
      </w:r>
      <w:r>
        <w:rPr>
          <w:rFonts w:ascii="宋体" w:hAnsi="宋体" w:eastAsia="宋体" w:cs="Times New Roman"/>
          <w:color w:val="auto"/>
          <w:szCs w:val="21"/>
        </w:rPr>
        <w:t>3</w:t>
      </w:r>
      <w:r>
        <w:rPr>
          <w:rFonts w:hint="eastAsia" w:ascii="宋体" w:hAnsi="宋体" w:eastAsia="宋体" w:cs="Times New Roman"/>
          <w:color w:val="auto"/>
          <w:szCs w:val="21"/>
        </w:rPr>
        <w:t>天病假的，应提供区级及区级以上医院出具的休假证明书及收费单；休</w:t>
      </w:r>
      <w:r>
        <w:rPr>
          <w:rFonts w:ascii="宋体" w:hAnsi="宋体" w:eastAsia="宋体" w:cs="Times New Roman"/>
          <w:color w:val="auto"/>
          <w:szCs w:val="21"/>
        </w:rPr>
        <w:t>3</w:t>
      </w:r>
      <w:r>
        <w:rPr>
          <w:rFonts w:hint="eastAsia" w:ascii="宋体" w:hAnsi="宋体" w:eastAsia="宋体" w:cs="Times New Roman"/>
          <w:color w:val="auto"/>
          <w:szCs w:val="21"/>
        </w:rPr>
        <w:t>天以上病假的，应提供三级甲等医院提供的休假证明书及收费单。无法提供符合规定的诊断记录及病假条的一律按事假处理。特殊情况，经人力资源部调查核实并经上级领导审批后，可作病假处理。</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员工如果</w:t>
      </w:r>
      <w:r>
        <w:rPr>
          <w:rFonts w:hint="eastAsia" w:ascii="宋体" w:hAnsi="宋体" w:eastAsia="宋体" w:cs="Times New Roman"/>
          <w:color w:val="auto"/>
          <w:szCs w:val="21"/>
          <w:lang w:eastAsia="zh-CN"/>
        </w:rPr>
        <w:t>因</w:t>
      </w:r>
      <w:r>
        <w:rPr>
          <w:rFonts w:ascii="宋体" w:hAnsi="宋体" w:eastAsia="宋体" w:cs="Times New Roman"/>
          <w:color w:val="auto"/>
          <w:szCs w:val="21"/>
        </w:rPr>
        <w:t>急诊不能按时上班的，必须于上班前或不迟于上班时间30分钟内，电话通知</w:t>
      </w:r>
      <w:r>
        <w:rPr>
          <w:rFonts w:hint="eastAsia" w:ascii="宋体" w:hAnsi="宋体" w:eastAsia="宋体" w:cs="Times New Roman"/>
          <w:color w:val="auto"/>
          <w:szCs w:val="21"/>
        </w:rPr>
        <w:t>上级领导</w:t>
      </w:r>
      <w:r>
        <w:rPr>
          <w:rFonts w:ascii="宋体" w:hAnsi="宋体" w:eastAsia="宋体" w:cs="Times New Roman"/>
          <w:color w:val="auto"/>
          <w:szCs w:val="21"/>
        </w:rPr>
        <w:t>和人力资源部，于病假后上班第一天补办请假手续。</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员工因病或非因工负伤停止工作医疗时，根据本人实际工作年限和在</w:t>
      </w:r>
      <w:r>
        <w:rPr>
          <w:rFonts w:hint="eastAsia" w:ascii="宋体" w:hAnsi="宋体" w:eastAsia="宋体" w:cs="Times New Roman"/>
          <w:color w:val="auto"/>
          <w:szCs w:val="21"/>
        </w:rPr>
        <w:t>本</w:t>
      </w:r>
      <w:r>
        <w:rPr>
          <w:rFonts w:ascii="宋体" w:hAnsi="宋体" w:eastAsia="宋体" w:cs="Times New Roman"/>
          <w:color w:val="auto"/>
          <w:szCs w:val="21"/>
        </w:rPr>
        <w:t>公司的工作年限，给予一定的医疗期，病休期间公休假日和法定节日包含在医疗期内，具体医疗期规定</w:t>
      </w:r>
      <w:r>
        <w:rPr>
          <w:rFonts w:hint="eastAsia" w:ascii="宋体" w:hAnsi="宋体" w:eastAsia="宋体" w:cs="Times New Roman"/>
          <w:color w:val="auto"/>
          <w:szCs w:val="21"/>
        </w:rPr>
        <w:t>如下：</w:t>
      </w:r>
    </w:p>
    <w:tbl>
      <w:tblPr>
        <w:tblStyle w:val="4"/>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126"/>
        <w:gridCol w:w="1577"/>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55"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本人工作年限T</w:t>
            </w:r>
          </w:p>
        </w:tc>
        <w:tc>
          <w:tcPr>
            <w:tcW w:w="2126" w:type="dxa"/>
          </w:tcPr>
          <w:p>
            <w:pPr>
              <w:spacing w:before="50" w:after="50" w:line="440" w:lineRule="exact"/>
              <w:jc w:val="center"/>
              <w:rPr>
                <w:rFonts w:ascii="宋体" w:hAnsi="宋体" w:eastAsia="宋体" w:cs="Times New Roman"/>
                <w:color w:val="auto"/>
                <w:kern w:val="0"/>
                <w:szCs w:val="21"/>
              </w:rPr>
            </w:pPr>
            <w:r>
              <w:rPr>
                <w:rFonts w:hint="eastAsia" w:ascii="宋体" w:hAnsi="宋体" w:eastAsia="宋体" w:cs="Times New Roman"/>
                <w:color w:val="auto"/>
                <w:kern w:val="0"/>
                <w:szCs w:val="21"/>
              </w:rPr>
              <w:t>本企业</w:t>
            </w:r>
            <w:r>
              <w:rPr>
                <w:rFonts w:ascii="宋体" w:hAnsi="宋体" w:eastAsia="宋体" w:cs="Times New Roman"/>
                <w:color w:val="auto"/>
                <w:kern w:val="0"/>
                <w:szCs w:val="21"/>
              </w:rPr>
              <w:t>工作年限T</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享受医疗期</w:t>
            </w:r>
          </w:p>
        </w:tc>
        <w:tc>
          <w:tcPr>
            <w:tcW w:w="319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55" w:type="dxa"/>
            <w:vMerge w:val="restart"/>
            <w:vAlign w:val="center"/>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T&lt;10年</w:t>
            </w:r>
          </w:p>
        </w:tc>
        <w:tc>
          <w:tcPr>
            <w:tcW w:w="2126"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T&lt;5年</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3个月</w:t>
            </w:r>
          </w:p>
        </w:tc>
        <w:tc>
          <w:tcPr>
            <w:tcW w:w="3197" w:type="dxa"/>
          </w:tcPr>
          <w:p>
            <w:pPr>
              <w:spacing w:before="50" w:after="50" w:line="440" w:lineRule="exact"/>
              <w:rPr>
                <w:rFonts w:ascii="宋体" w:hAnsi="宋体" w:eastAsia="宋体" w:cs="Times New Roman"/>
                <w:color w:val="auto"/>
                <w:kern w:val="0"/>
                <w:szCs w:val="21"/>
              </w:rPr>
            </w:pPr>
            <w:r>
              <w:rPr>
                <w:rFonts w:ascii="宋体" w:hAnsi="宋体" w:eastAsia="宋体" w:cs="Times New Roman"/>
                <w:color w:val="auto"/>
                <w:kern w:val="0"/>
                <w:szCs w:val="21"/>
              </w:rPr>
              <w:t>按6个月内累计病休时间计算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55" w:type="dxa"/>
            <w:vMerge w:val="continue"/>
            <w:vAlign w:val="center"/>
          </w:tcPr>
          <w:p>
            <w:pPr>
              <w:spacing w:before="50" w:after="50" w:line="440" w:lineRule="exact"/>
              <w:jc w:val="center"/>
              <w:rPr>
                <w:rFonts w:ascii="宋体" w:hAnsi="宋体" w:eastAsia="宋体" w:cs="Times New Roman"/>
                <w:color w:val="auto"/>
                <w:kern w:val="0"/>
                <w:szCs w:val="21"/>
              </w:rPr>
            </w:pPr>
          </w:p>
        </w:tc>
        <w:tc>
          <w:tcPr>
            <w:tcW w:w="2126"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T≥5年</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6个月</w:t>
            </w:r>
          </w:p>
        </w:tc>
        <w:tc>
          <w:tcPr>
            <w:tcW w:w="3197" w:type="dxa"/>
            <w:vMerge w:val="restart"/>
            <w:vAlign w:val="center"/>
          </w:tcPr>
          <w:p>
            <w:pPr>
              <w:spacing w:before="50" w:after="50" w:line="440" w:lineRule="exact"/>
              <w:rPr>
                <w:rFonts w:ascii="宋体" w:hAnsi="宋体" w:eastAsia="宋体" w:cs="Times New Roman"/>
                <w:color w:val="auto"/>
                <w:kern w:val="0"/>
                <w:szCs w:val="21"/>
              </w:rPr>
            </w:pPr>
            <w:r>
              <w:rPr>
                <w:rFonts w:ascii="宋体" w:hAnsi="宋体" w:eastAsia="宋体" w:cs="Times New Roman"/>
                <w:color w:val="auto"/>
                <w:kern w:val="0"/>
                <w:szCs w:val="21"/>
              </w:rPr>
              <w:t>按12个月内累计病休时间计算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1855" w:type="dxa"/>
            <w:vMerge w:val="restart"/>
            <w:vAlign w:val="center"/>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T≥10年</w:t>
            </w:r>
          </w:p>
        </w:tc>
        <w:tc>
          <w:tcPr>
            <w:tcW w:w="2126"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T&lt;5年</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6个月</w:t>
            </w:r>
          </w:p>
        </w:tc>
        <w:tc>
          <w:tcPr>
            <w:tcW w:w="3197" w:type="dxa"/>
            <w:vMerge w:val="continue"/>
          </w:tcPr>
          <w:p>
            <w:pPr>
              <w:spacing w:before="50" w:after="50" w:line="440" w:lineRule="exact"/>
              <w:rPr>
                <w:rFonts w:ascii="宋体" w:hAnsi="宋体" w:eastAsia="宋体"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55" w:type="dxa"/>
            <w:vMerge w:val="continue"/>
          </w:tcPr>
          <w:p>
            <w:pPr>
              <w:spacing w:before="50" w:after="50" w:line="440" w:lineRule="exact"/>
              <w:rPr>
                <w:rFonts w:ascii="宋体" w:hAnsi="宋体" w:eastAsia="宋体" w:cs="Times New Roman"/>
                <w:color w:val="auto"/>
                <w:kern w:val="0"/>
                <w:szCs w:val="21"/>
              </w:rPr>
            </w:pPr>
          </w:p>
        </w:tc>
        <w:tc>
          <w:tcPr>
            <w:tcW w:w="2126"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5≤T&lt;10</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9个月</w:t>
            </w:r>
          </w:p>
        </w:tc>
        <w:tc>
          <w:tcPr>
            <w:tcW w:w="3197" w:type="dxa"/>
          </w:tcPr>
          <w:p>
            <w:pPr>
              <w:spacing w:before="50" w:after="50" w:line="440" w:lineRule="exact"/>
              <w:rPr>
                <w:rFonts w:ascii="宋体" w:hAnsi="宋体" w:eastAsia="宋体" w:cs="Times New Roman"/>
                <w:color w:val="auto"/>
                <w:kern w:val="0"/>
                <w:szCs w:val="21"/>
              </w:rPr>
            </w:pPr>
            <w:r>
              <w:rPr>
                <w:rFonts w:ascii="宋体" w:hAnsi="宋体" w:eastAsia="宋体" w:cs="Times New Roman"/>
                <w:color w:val="auto"/>
                <w:kern w:val="0"/>
                <w:szCs w:val="21"/>
              </w:rPr>
              <w:t>按15个月内累计病休时间计算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55" w:type="dxa"/>
            <w:vMerge w:val="continue"/>
          </w:tcPr>
          <w:p>
            <w:pPr>
              <w:spacing w:before="50" w:after="50" w:line="440" w:lineRule="exact"/>
              <w:rPr>
                <w:rFonts w:ascii="宋体" w:hAnsi="宋体" w:eastAsia="宋体" w:cs="Times New Roman"/>
                <w:color w:val="auto"/>
                <w:kern w:val="0"/>
                <w:szCs w:val="21"/>
              </w:rPr>
            </w:pPr>
          </w:p>
        </w:tc>
        <w:tc>
          <w:tcPr>
            <w:tcW w:w="2126"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10≤T&lt;15</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12个月</w:t>
            </w:r>
          </w:p>
        </w:tc>
        <w:tc>
          <w:tcPr>
            <w:tcW w:w="3197" w:type="dxa"/>
          </w:tcPr>
          <w:p>
            <w:pPr>
              <w:spacing w:before="50" w:after="50" w:line="440" w:lineRule="exact"/>
              <w:rPr>
                <w:rFonts w:ascii="宋体" w:hAnsi="宋体" w:eastAsia="宋体" w:cs="Times New Roman"/>
                <w:color w:val="auto"/>
                <w:kern w:val="0"/>
                <w:szCs w:val="21"/>
              </w:rPr>
            </w:pPr>
            <w:r>
              <w:rPr>
                <w:rFonts w:ascii="宋体" w:hAnsi="宋体" w:eastAsia="宋体" w:cs="Times New Roman"/>
                <w:color w:val="auto"/>
                <w:kern w:val="0"/>
                <w:szCs w:val="21"/>
              </w:rPr>
              <w:t>按18个月内累计病休时间计算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55" w:type="dxa"/>
            <w:vMerge w:val="continue"/>
          </w:tcPr>
          <w:p>
            <w:pPr>
              <w:spacing w:before="50" w:after="50" w:line="440" w:lineRule="exact"/>
              <w:rPr>
                <w:rFonts w:ascii="宋体" w:hAnsi="宋体" w:eastAsia="宋体" w:cs="Times New Roman"/>
                <w:color w:val="auto"/>
                <w:kern w:val="0"/>
                <w:szCs w:val="21"/>
              </w:rPr>
            </w:pPr>
          </w:p>
        </w:tc>
        <w:tc>
          <w:tcPr>
            <w:tcW w:w="2126"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15≤T&lt;20</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18个月</w:t>
            </w:r>
          </w:p>
        </w:tc>
        <w:tc>
          <w:tcPr>
            <w:tcW w:w="3197" w:type="dxa"/>
          </w:tcPr>
          <w:p>
            <w:pPr>
              <w:spacing w:before="50" w:after="50" w:line="440" w:lineRule="exact"/>
              <w:rPr>
                <w:rFonts w:ascii="宋体" w:hAnsi="宋体" w:eastAsia="宋体" w:cs="Times New Roman"/>
                <w:color w:val="auto"/>
                <w:kern w:val="0"/>
                <w:szCs w:val="21"/>
              </w:rPr>
            </w:pPr>
            <w:r>
              <w:rPr>
                <w:rFonts w:ascii="宋体" w:hAnsi="宋体" w:eastAsia="宋体" w:cs="Times New Roman"/>
                <w:color w:val="auto"/>
                <w:kern w:val="0"/>
                <w:szCs w:val="21"/>
              </w:rPr>
              <w:t>按24个月内累计病休时间计算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55" w:type="dxa"/>
            <w:vMerge w:val="continue"/>
          </w:tcPr>
          <w:p>
            <w:pPr>
              <w:spacing w:before="50" w:after="50" w:line="440" w:lineRule="exact"/>
              <w:rPr>
                <w:rFonts w:ascii="宋体" w:hAnsi="宋体" w:eastAsia="宋体" w:cs="Times New Roman"/>
                <w:color w:val="auto"/>
                <w:kern w:val="0"/>
                <w:szCs w:val="21"/>
              </w:rPr>
            </w:pPr>
          </w:p>
        </w:tc>
        <w:tc>
          <w:tcPr>
            <w:tcW w:w="2126"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T≥20</w:t>
            </w:r>
          </w:p>
        </w:tc>
        <w:tc>
          <w:tcPr>
            <w:tcW w:w="1577" w:type="dxa"/>
          </w:tcPr>
          <w:p>
            <w:pPr>
              <w:spacing w:before="50" w:after="50" w:line="440" w:lineRule="exact"/>
              <w:jc w:val="center"/>
              <w:rPr>
                <w:rFonts w:ascii="宋体" w:hAnsi="宋体" w:eastAsia="宋体" w:cs="Times New Roman"/>
                <w:color w:val="auto"/>
                <w:kern w:val="0"/>
                <w:szCs w:val="21"/>
              </w:rPr>
            </w:pPr>
            <w:r>
              <w:rPr>
                <w:rFonts w:ascii="宋体" w:hAnsi="宋体" w:eastAsia="宋体" w:cs="Times New Roman"/>
                <w:color w:val="auto"/>
                <w:kern w:val="0"/>
                <w:szCs w:val="21"/>
              </w:rPr>
              <w:t>24个月</w:t>
            </w:r>
          </w:p>
        </w:tc>
        <w:tc>
          <w:tcPr>
            <w:tcW w:w="3197" w:type="dxa"/>
          </w:tcPr>
          <w:p>
            <w:pPr>
              <w:spacing w:before="50" w:after="50" w:line="440" w:lineRule="exact"/>
              <w:rPr>
                <w:rFonts w:ascii="宋体" w:hAnsi="宋体" w:eastAsia="宋体" w:cs="Times New Roman"/>
                <w:color w:val="auto"/>
                <w:kern w:val="0"/>
                <w:szCs w:val="21"/>
              </w:rPr>
            </w:pPr>
            <w:r>
              <w:rPr>
                <w:rFonts w:ascii="宋体" w:hAnsi="宋体" w:eastAsia="宋体" w:cs="Times New Roman"/>
                <w:color w:val="auto"/>
                <w:kern w:val="0"/>
                <w:szCs w:val="21"/>
              </w:rPr>
              <w:t>按30个月内累计病休时间计算</w:t>
            </w:r>
          </w:p>
        </w:tc>
      </w:tr>
    </w:tbl>
    <w:p>
      <w:pPr>
        <w:numPr>
          <w:ilvl w:val="0"/>
          <w:numId w:val="13"/>
        </w:numPr>
        <w:spacing w:line="360" w:lineRule="auto"/>
        <w:ind w:left="709" w:hanging="709"/>
        <w:rPr>
          <w:rFonts w:ascii="宋体" w:hAnsi="宋体" w:eastAsia="宋体" w:cs="Times New Roman"/>
          <w:color w:val="auto"/>
          <w:szCs w:val="21"/>
        </w:rPr>
      </w:pPr>
      <w:r>
        <w:rPr>
          <w:rFonts w:hint="eastAsia" w:ascii="宋体" w:hAnsi="宋体" w:eastAsia="宋体" w:cs="Times New Roman"/>
          <w:color w:val="auto"/>
          <w:szCs w:val="21"/>
        </w:rPr>
        <w:t>在规定医疗期内的，</w:t>
      </w:r>
      <w:r>
        <w:rPr>
          <w:rFonts w:ascii="宋体" w:hAnsi="宋体" w:eastAsia="宋体" w:cs="Times New Roman"/>
          <w:color w:val="auto"/>
          <w:szCs w:val="21"/>
        </w:rPr>
        <w:t>病假工资待遇</w:t>
      </w:r>
      <w:r>
        <w:rPr>
          <w:rFonts w:hint="eastAsia" w:ascii="宋体" w:hAnsi="宋体" w:eastAsia="宋体" w:cs="Times New Roman"/>
          <w:color w:val="auto"/>
          <w:szCs w:val="21"/>
        </w:rPr>
        <w:t>按标准工资（基本工资+岗位工资+岗位津贴）的60%支付，按病假天数扣发绩效奖金。</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如员工在病伤期间工资低于</w:t>
      </w:r>
      <w:r>
        <w:rPr>
          <w:rFonts w:hint="eastAsia" w:ascii="宋体" w:hAnsi="宋体" w:eastAsia="宋体" w:cs="Times New Roman"/>
          <w:color w:val="auto"/>
          <w:szCs w:val="21"/>
        </w:rPr>
        <w:t>当地</w:t>
      </w:r>
      <w:r>
        <w:rPr>
          <w:rFonts w:ascii="宋体" w:hAnsi="宋体" w:eastAsia="宋体" w:cs="Times New Roman"/>
          <w:color w:val="auto"/>
          <w:szCs w:val="21"/>
        </w:rPr>
        <w:t>当期最低工资80%的，按</w:t>
      </w:r>
      <w:r>
        <w:rPr>
          <w:rFonts w:hint="eastAsia" w:ascii="宋体" w:hAnsi="宋体" w:eastAsia="宋体" w:cs="Times New Roman"/>
          <w:color w:val="auto"/>
          <w:szCs w:val="21"/>
        </w:rPr>
        <w:t>当地</w:t>
      </w:r>
      <w:r>
        <w:rPr>
          <w:rFonts w:ascii="宋体" w:hAnsi="宋体" w:eastAsia="宋体" w:cs="Times New Roman"/>
          <w:color w:val="auto"/>
          <w:szCs w:val="21"/>
        </w:rPr>
        <w:t>当期最低工资的80%发放。</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员工患病医疗期满后未痊愈或已经痊愈但不能胜任其工作或经调整岗位仍不能胜任工作者，按《劳动法》规定予以提前解除劳动合同，并按规定予以经济补偿。</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出差或休假期间，因病不能如期返回，须及时通知部门负责人和</w:t>
      </w:r>
      <w:r>
        <w:rPr>
          <w:rFonts w:hint="eastAsia" w:ascii="宋体" w:hAnsi="宋体" w:eastAsia="宋体" w:cs="Times New Roman"/>
          <w:color w:val="auto"/>
          <w:szCs w:val="21"/>
          <w:lang w:eastAsia="zh-CN"/>
        </w:rPr>
        <w:t>总裁办</w:t>
      </w:r>
      <w:r>
        <w:rPr>
          <w:rFonts w:hint="eastAsia" w:ascii="宋体" w:hAnsi="宋体" w:eastAsia="宋体" w:cs="Times New Roman"/>
          <w:color w:val="auto"/>
          <w:szCs w:val="21"/>
        </w:rPr>
        <w:t>，</w:t>
      </w:r>
      <w:r>
        <w:rPr>
          <w:rFonts w:ascii="宋体" w:hAnsi="宋体" w:eastAsia="宋体" w:cs="Times New Roman"/>
          <w:color w:val="auto"/>
          <w:szCs w:val="21"/>
        </w:rPr>
        <w:t>3天以上病假（含3天）须出具医院开具有效证明。</w:t>
      </w:r>
    </w:p>
    <w:p>
      <w:pPr>
        <w:numPr>
          <w:ilvl w:val="0"/>
          <w:numId w:val="13"/>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员工在医疗休息期间，若被证实在外单位工作，公司将立即解除劳动合同，不承担其它任何责任，并扣回病假期间工资、福利等。</w:t>
      </w:r>
    </w:p>
    <w:p>
      <w:pPr>
        <w:numPr>
          <w:ilvl w:val="0"/>
          <w:numId w:val="7"/>
        </w:numPr>
        <w:tabs>
          <w:tab w:val="left" w:pos="709"/>
        </w:tabs>
        <w:spacing w:line="360" w:lineRule="auto"/>
        <w:ind w:left="709" w:hanging="709"/>
        <w:rPr>
          <w:rFonts w:ascii="宋体" w:hAnsi="宋体" w:eastAsia="宋体" w:cs="Times New Roman"/>
          <w:b/>
          <w:bCs/>
          <w:color w:val="auto"/>
          <w:szCs w:val="21"/>
        </w:rPr>
      </w:pPr>
      <w:r>
        <w:rPr>
          <w:rFonts w:ascii="宋体" w:hAnsi="宋体" w:eastAsia="宋体" w:cs="Times New Roman"/>
          <w:b/>
          <w:bCs/>
          <w:color w:val="auto"/>
          <w:szCs w:val="21"/>
        </w:rPr>
        <w:t>事假</w:t>
      </w:r>
    </w:p>
    <w:p>
      <w:pPr>
        <w:numPr>
          <w:ilvl w:val="0"/>
          <w:numId w:val="14"/>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员工若因特殊情况确有困难需请事假，必须提前至少</w:t>
      </w:r>
      <w:r>
        <w:rPr>
          <w:rFonts w:hint="eastAsia" w:ascii="宋体" w:hAnsi="宋体" w:eastAsia="宋体" w:cs="Times New Roman"/>
          <w:color w:val="auto"/>
          <w:szCs w:val="21"/>
        </w:rPr>
        <w:t>一</w:t>
      </w:r>
      <w:r>
        <w:rPr>
          <w:rFonts w:ascii="宋体" w:hAnsi="宋体" w:eastAsia="宋体" w:cs="Times New Roman"/>
          <w:color w:val="auto"/>
          <w:szCs w:val="21"/>
        </w:rPr>
        <w:t>天申请，不得事后补假。遇急事来不及事先请假者，应及时电话报知部门负责人，经批准后方可休假，事后上班第一时间补办请假手续，否则按旷工处理。</w:t>
      </w:r>
    </w:p>
    <w:p>
      <w:pPr>
        <w:numPr>
          <w:ilvl w:val="0"/>
          <w:numId w:val="14"/>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事假</w:t>
      </w:r>
      <w:r>
        <w:rPr>
          <w:rFonts w:hint="eastAsia" w:ascii="宋体" w:hAnsi="宋体" w:eastAsia="宋体" w:cs="Times New Roman"/>
          <w:color w:val="auto"/>
          <w:szCs w:val="21"/>
        </w:rPr>
        <w:t>以半天为单位计算请假时间。</w:t>
      </w:r>
    </w:p>
    <w:p>
      <w:pPr>
        <w:numPr>
          <w:ilvl w:val="0"/>
          <w:numId w:val="14"/>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员工请事假期间扣全部工资，并按照事假时间扣减年终奖金</w:t>
      </w:r>
      <w:r>
        <w:rPr>
          <w:rFonts w:hint="eastAsia" w:ascii="宋体" w:hAnsi="宋体" w:eastAsia="宋体" w:cs="Times New Roman"/>
          <w:color w:val="auto"/>
          <w:szCs w:val="21"/>
        </w:rPr>
        <w:t>，</w:t>
      </w:r>
      <w:r>
        <w:rPr>
          <w:rFonts w:ascii="宋体" w:hAnsi="宋体" w:eastAsia="宋体" w:cs="Times New Roman"/>
          <w:color w:val="auto"/>
          <w:szCs w:val="21"/>
        </w:rPr>
        <w:t>全年请事假天数不得超过30天。</w:t>
      </w:r>
    </w:p>
    <w:p>
      <w:pPr>
        <w:numPr>
          <w:ilvl w:val="0"/>
          <w:numId w:val="14"/>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试用期员工事假超过</w:t>
      </w:r>
      <w:r>
        <w:rPr>
          <w:rFonts w:hint="eastAsia" w:ascii="宋体" w:hAnsi="宋体" w:eastAsia="宋体" w:cs="Times New Roman"/>
          <w:color w:val="auto"/>
          <w:szCs w:val="21"/>
        </w:rPr>
        <w:t>2</w:t>
      </w:r>
      <w:r>
        <w:rPr>
          <w:rFonts w:ascii="宋体" w:hAnsi="宋体" w:eastAsia="宋体" w:cs="Times New Roman"/>
          <w:color w:val="auto"/>
          <w:szCs w:val="21"/>
        </w:rPr>
        <w:t>天</w:t>
      </w:r>
      <w:r>
        <w:rPr>
          <w:rFonts w:hint="eastAsia" w:ascii="宋体" w:hAnsi="宋体" w:eastAsia="宋体" w:cs="Times New Roman"/>
          <w:color w:val="auto"/>
          <w:szCs w:val="21"/>
        </w:rPr>
        <w:t>的</w:t>
      </w:r>
      <w:r>
        <w:rPr>
          <w:rFonts w:ascii="宋体" w:hAnsi="宋体" w:eastAsia="宋体" w:cs="Times New Roman"/>
          <w:color w:val="auto"/>
          <w:szCs w:val="21"/>
        </w:rPr>
        <w:t>，则顺延试用期</w:t>
      </w:r>
      <w:r>
        <w:rPr>
          <w:rFonts w:hint="eastAsia" w:ascii="宋体" w:hAnsi="宋体" w:eastAsia="宋体" w:cs="Times New Roman"/>
          <w:color w:val="auto"/>
          <w:szCs w:val="21"/>
        </w:rPr>
        <w:t>。</w:t>
      </w:r>
    </w:p>
    <w:p>
      <w:pPr>
        <w:numPr>
          <w:ilvl w:val="0"/>
          <w:numId w:val="7"/>
        </w:numPr>
        <w:tabs>
          <w:tab w:val="left" w:pos="709"/>
        </w:tabs>
        <w:spacing w:line="360" w:lineRule="auto"/>
        <w:ind w:left="709" w:hanging="709"/>
        <w:rPr>
          <w:rFonts w:ascii="宋体" w:hAnsi="宋体" w:eastAsia="宋体" w:cs="Times New Roman"/>
          <w:b/>
          <w:bCs/>
          <w:color w:val="auto"/>
          <w:szCs w:val="21"/>
        </w:rPr>
      </w:pPr>
      <w:r>
        <w:rPr>
          <w:rFonts w:ascii="宋体" w:hAnsi="宋体" w:eastAsia="宋体" w:cs="Times New Roman"/>
          <w:b/>
          <w:bCs/>
          <w:color w:val="auto"/>
          <w:szCs w:val="21"/>
        </w:rPr>
        <w:t>其它假期及规定</w:t>
      </w:r>
    </w:p>
    <w:p>
      <w:pPr>
        <w:numPr>
          <w:ilvl w:val="0"/>
          <w:numId w:val="15"/>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员工在工作中造成工伤，按照</w:t>
      </w:r>
      <w:r>
        <w:rPr>
          <w:rFonts w:hint="eastAsia" w:ascii="宋体" w:hAnsi="宋体" w:eastAsia="宋体" w:cs="Times New Roman"/>
          <w:color w:val="auto"/>
          <w:szCs w:val="21"/>
        </w:rPr>
        <w:t>北京</w:t>
      </w:r>
      <w:r>
        <w:rPr>
          <w:rFonts w:ascii="宋体" w:hAnsi="宋体" w:eastAsia="宋体" w:cs="Times New Roman"/>
          <w:color w:val="auto"/>
          <w:szCs w:val="21"/>
        </w:rPr>
        <w:t>市政府工伤保险有关规定办理。</w:t>
      </w:r>
    </w:p>
    <w:p>
      <w:pPr>
        <w:numPr>
          <w:ilvl w:val="0"/>
          <w:numId w:val="15"/>
        </w:numPr>
        <w:spacing w:line="360" w:lineRule="auto"/>
        <w:ind w:left="709" w:hanging="709"/>
        <w:rPr>
          <w:rFonts w:hint="eastAsia" w:ascii="宋体" w:hAnsi="宋体" w:eastAsia="宋体" w:cs="Times New Roman"/>
          <w:color w:val="auto"/>
          <w:szCs w:val="21"/>
        </w:rPr>
      </w:pPr>
      <w:r>
        <w:rPr>
          <w:rFonts w:ascii="宋体" w:hAnsi="宋体" w:eastAsia="宋体" w:cs="Times New Roman"/>
          <w:color w:val="auto"/>
          <w:szCs w:val="21"/>
        </w:rPr>
        <w:t>国家法定休假作相应调整的，以国家调整后规定执行。</w:t>
      </w:r>
    </w:p>
    <w:p>
      <w:pPr>
        <w:numPr>
          <w:ilvl w:val="0"/>
          <w:numId w:val="7"/>
        </w:numPr>
        <w:tabs>
          <w:tab w:val="left" w:pos="709"/>
        </w:tabs>
        <w:spacing w:line="360" w:lineRule="auto"/>
        <w:ind w:left="709" w:hanging="709"/>
        <w:rPr>
          <w:rFonts w:ascii="宋体" w:hAnsi="宋体" w:eastAsia="宋体" w:cs="Times New Roman"/>
          <w:b/>
          <w:bCs/>
          <w:color w:val="auto"/>
          <w:szCs w:val="21"/>
        </w:rPr>
      </w:pPr>
      <w:r>
        <w:rPr>
          <w:rFonts w:hint="eastAsia" w:ascii="宋体" w:hAnsi="宋体" w:eastAsia="宋体" w:cs="Times New Roman"/>
          <w:b/>
          <w:bCs/>
          <w:color w:val="auto"/>
          <w:szCs w:val="21"/>
        </w:rPr>
        <w:t>请</w:t>
      </w:r>
      <w:r>
        <w:rPr>
          <w:rFonts w:ascii="宋体" w:hAnsi="宋体" w:eastAsia="宋体" w:cs="Times New Roman"/>
          <w:b/>
          <w:bCs/>
          <w:color w:val="auto"/>
          <w:szCs w:val="21"/>
        </w:rPr>
        <w:t>休假手续办理</w:t>
      </w:r>
    </w:p>
    <w:p>
      <w:pPr>
        <w:numPr>
          <w:ilvl w:val="0"/>
          <w:numId w:val="16"/>
        </w:numPr>
        <w:spacing w:line="360" w:lineRule="auto"/>
        <w:ind w:left="709" w:hanging="709"/>
        <w:rPr>
          <w:rFonts w:ascii="宋体" w:hAnsi="宋体" w:eastAsia="宋体" w:cs="Times New Roman"/>
          <w:color w:val="auto"/>
          <w:szCs w:val="21"/>
        </w:rPr>
      </w:pPr>
      <w:r>
        <w:rPr>
          <w:rFonts w:ascii="宋体" w:hAnsi="宋体" w:eastAsia="宋体" w:cs="Times New Roman"/>
          <w:color w:val="auto"/>
          <w:szCs w:val="21"/>
        </w:rPr>
        <w:t>员工在休假前需</w:t>
      </w:r>
      <w:r>
        <w:rPr>
          <w:rFonts w:hint="eastAsia" w:ascii="宋体" w:hAnsi="宋体" w:eastAsia="宋体" w:cs="Times New Roman"/>
          <w:color w:val="auto"/>
          <w:szCs w:val="21"/>
        </w:rPr>
        <w:t>通过提交</w:t>
      </w:r>
      <w:r>
        <w:rPr>
          <w:rFonts w:ascii="宋体" w:hAnsi="宋体" w:eastAsia="宋体" w:cs="Times New Roman"/>
          <w:color w:val="auto"/>
          <w:szCs w:val="21"/>
        </w:rPr>
        <w:t>请（休）假</w:t>
      </w:r>
      <w:r>
        <w:rPr>
          <w:rFonts w:hint="eastAsia" w:ascii="宋体" w:hAnsi="宋体" w:eastAsia="宋体" w:cs="Times New Roman"/>
          <w:color w:val="auto"/>
          <w:szCs w:val="21"/>
        </w:rPr>
        <w:t>申请</w:t>
      </w:r>
      <w:r>
        <w:rPr>
          <w:rFonts w:ascii="宋体" w:hAnsi="宋体" w:eastAsia="宋体" w:cs="Times New Roman"/>
          <w:color w:val="auto"/>
          <w:szCs w:val="21"/>
        </w:rPr>
        <w:t>，</w:t>
      </w:r>
      <w:r>
        <w:rPr>
          <w:rFonts w:hint="eastAsia" w:ascii="宋体" w:hAnsi="宋体" w:eastAsia="宋体" w:cs="Times New Roman"/>
          <w:color w:val="auto"/>
          <w:szCs w:val="21"/>
        </w:rPr>
        <w:t>填写《请休假审批单》。注明请假种类、假期、时间、事由及工作接手人，按照审批流程批准后，再递送总裁办做考勤备案。</w:t>
      </w:r>
      <w:r>
        <w:rPr>
          <w:rFonts w:ascii="宋体" w:hAnsi="宋体" w:eastAsia="宋体" w:cs="Times New Roman"/>
          <w:color w:val="auto"/>
          <w:szCs w:val="21"/>
        </w:rPr>
        <w:t>获批准后才可以休假；未按规定履行请假手续者，对未经批准的缺勤时间按旷工处理。</w:t>
      </w:r>
    </w:p>
    <w:p>
      <w:pPr>
        <w:numPr>
          <w:ilvl w:val="0"/>
          <w:numId w:val="16"/>
        </w:numPr>
        <w:spacing w:line="360" w:lineRule="auto"/>
        <w:ind w:left="709" w:hanging="709"/>
        <w:rPr>
          <w:rFonts w:ascii="宋体" w:hAnsi="宋体" w:eastAsia="宋体" w:cs="Times New Roman"/>
          <w:color w:val="auto"/>
          <w:szCs w:val="21"/>
        </w:rPr>
      </w:pPr>
      <w:r>
        <w:rPr>
          <w:rFonts w:hint="eastAsia" w:ascii="宋体" w:hAnsi="宋体" w:eastAsia="宋体" w:cs="Times New Roman"/>
          <w:color w:val="auto"/>
          <w:szCs w:val="21"/>
        </w:rPr>
        <w:t>员工外勤、病假、事假、年休假及其它福利假期的审批权限如下表：</w:t>
      </w:r>
    </w:p>
    <w:tbl>
      <w:tblPr>
        <w:tblStyle w:val="4"/>
        <w:tblW w:w="8222" w:type="dxa"/>
        <w:jc w:val="center"/>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409"/>
        <w:gridCol w:w="269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985" w:type="dxa"/>
            <w:shd w:val="clear" w:color="auto" w:fill="auto"/>
          </w:tcPr>
          <w:p>
            <w:pPr>
              <w:spacing w:line="520" w:lineRule="exact"/>
              <w:jc w:val="center"/>
              <w:rPr>
                <w:rFonts w:ascii="宋体" w:hAnsi="宋体" w:eastAsia="宋体" w:cs="Times New Roman"/>
                <w:b/>
                <w:color w:val="auto"/>
                <w:szCs w:val="21"/>
              </w:rPr>
            </w:pPr>
            <w:r>
              <w:rPr>
                <w:rFonts w:hint="eastAsia" w:ascii="宋体" w:hAnsi="宋体" w:eastAsia="宋体" w:cs="Times New Roman"/>
                <w:b/>
                <w:color w:val="auto"/>
                <w:szCs w:val="21"/>
              </w:rPr>
              <w:t>职级</w:t>
            </w:r>
          </w:p>
        </w:tc>
        <w:tc>
          <w:tcPr>
            <w:tcW w:w="2409" w:type="dxa"/>
            <w:shd w:val="clear" w:color="auto" w:fill="auto"/>
          </w:tcPr>
          <w:p>
            <w:pPr>
              <w:spacing w:line="520" w:lineRule="exact"/>
              <w:jc w:val="center"/>
              <w:rPr>
                <w:rFonts w:ascii="宋体" w:hAnsi="宋体" w:eastAsia="宋体" w:cs="Times New Roman"/>
                <w:b/>
                <w:color w:val="auto"/>
                <w:szCs w:val="21"/>
              </w:rPr>
            </w:pPr>
            <w:r>
              <w:rPr>
                <w:rFonts w:hint="eastAsia" w:ascii="宋体" w:hAnsi="宋体" w:eastAsia="宋体" w:cs="Times New Roman"/>
                <w:b/>
                <w:color w:val="auto"/>
                <w:szCs w:val="21"/>
              </w:rPr>
              <w:t>≤2天</w:t>
            </w:r>
          </w:p>
        </w:tc>
        <w:tc>
          <w:tcPr>
            <w:tcW w:w="2694" w:type="dxa"/>
            <w:shd w:val="clear" w:color="auto" w:fill="auto"/>
          </w:tcPr>
          <w:p>
            <w:pPr>
              <w:spacing w:line="520" w:lineRule="exact"/>
              <w:jc w:val="center"/>
              <w:rPr>
                <w:rFonts w:ascii="宋体" w:hAnsi="宋体" w:eastAsia="宋体" w:cs="Times New Roman"/>
                <w:b/>
                <w:color w:val="auto"/>
                <w:szCs w:val="21"/>
              </w:rPr>
            </w:pPr>
            <w:r>
              <w:rPr>
                <w:rFonts w:hint="eastAsia" w:ascii="宋体" w:hAnsi="宋体" w:eastAsia="宋体" w:cs="Times New Roman"/>
                <w:b/>
                <w:color w:val="auto"/>
                <w:szCs w:val="21"/>
              </w:rPr>
              <w:t>&gt;2天</w:t>
            </w:r>
          </w:p>
        </w:tc>
        <w:tc>
          <w:tcPr>
            <w:tcW w:w="1134" w:type="dxa"/>
            <w:shd w:val="clear" w:color="auto" w:fill="auto"/>
          </w:tcPr>
          <w:p>
            <w:pPr>
              <w:spacing w:line="520" w:lineRule="exact"/>
              <w:jc w:val="center"/>
              <w:rPr>
                <w:rFonts w:ascii="宋体" w:hAnsi="宋体" w:eastAsia="宋体" w:cs="Times New Roman"/>
                <w:b/>
                <w:color w:val="auto"/>
                <w:szCs w:val="21"/>
              </w:rPr>
            </w:pPr>
            <w:r>
              <w:rPr>
                <w:rFonts w:hint="eastAsia" w:ascii="宋体" w:hAnsi="宋体" w:eastAsia="宋体" w:cs="Times New Roman"/>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985" w:type="dxa"/>
            <w:shd w:val="clear" w:color="auto" w:fill="auto"/>
            <w:vAlign w:val="center"/>
          </w:tcPr>
          <w:p>
            <w:pPr>
              <w:spacing w:line="520" w:lineRule="exact"/>
              <w:jc w:val="center"/>
              <w:rPr>
                <w:rFonts w:ascii="宋体" w:hAnsi="宋体" w:eastAsia="宋体" w:cs="Times New Roman"/>
                <w:color w:val="auto"/>
                <w:szCs w:val="21"/>
              </w:rPr>
            </w:pPr>
            <w:r>
              <w:rPr>
                <w:rFonts w:hint="eastAsia" w:ascii="宋体" w:hAnsi="宋体" w:eastAsia="宋体" w:cs="Times New Roman"/>
                <w:color w:val="auto"/>
                <w:szCs w:val="21"/>
              </w:rPr>
              <w:t>经理/主管</w:t>
            </w:r>
          </w:p>
          <w:p>
            <w:pPr>
              <w:spacing w:line="520" w:lineRule="exact"/>
              <w:jc w:val="center"/>
              <w:rPr>
                <w:rFonts w:ascii="宋体" w:hAnsi="宋体" w:eastAsia="宋体" w:cs="Times New Roman"/>
                <w:color w:val="auto"/>
                <w:szCs w:val="21"/>
              </w:rPr>
            </w:pPr>
            <w:r>
              <w:rPr>
                <w:rFonts w:hint="eastAsia" w:ascii="宋体" w:hAnsi="宋体" w:eastAsia="宋体" w:cs="Times New Roman"/>
                <w:color w:val="auto"/>
                <w:szCs w:val="21"/>
              </w:rPr>
              <w:t>及以下人员</w:t>
            </w:r>
          </w:p>
        </w:tc>
        <w:tc>
          <w:tcPr>
            <w:tcW w:w="2409" w:type="dxa"/>
            <w:shd w:val="clear" w:color="auto" w:fill="auto"/>
            <w:vAlign w:val="center"/>
          </w:tcPr>
          <w:p>
            <w:pPr>
              <w:spacing w:line="520" w:lineRule="exact"/>
              <w:jc w:val="center"/>
              <w:rPr>
                <w:rFonts w:ascii="宋体" w:hAnsi="宋体" w:eastAsia="宋体" w:cs="Times New Roman"/>
                <w:color w:val="auto"/>
                <w:szCs w:val="21"/>
              </w:rPr>
            </w:pPr>
            <w:r>
              <w:rPr>
                <w:rFonts w:hint="eastAsia" w:ascii="宋体" w:hAnsi="宋体" w:eastAsia="宋体" w:cs="Times New Roman"/>
                <w:color w:val="auto"/>
                <w:szCs w:val="21"/>
              </w:rPr>
              <w:t>部门经理审批</w:t>
            </w:r>
          </w:p>
        </w:tc>
        <w:tc>
          <w:tcPr>
            <w:tcW w:w="2694" w:type="dxa"/>
            <w:shd w:val="clear" w:color="auto" w:fill="auto"/>
            <w:vAlign w:val="center"/>
          </w:tcPr>
          <w:p>
            <w:pPr>
              <w:spacing w:line="520" w:lineRule="exact"/>
              <w:jc w:val="center"/>
              <w:rPr>
                <w:rFonts w:ascii="宋体" w:hAnsi="宋体" w:eastAsia="宋体" w:cs="Times New Roman"/>
                <w:color w:val="auto"/>
                <w:szCs w:val="21"/>
              </w:rPr>
            </w:pPr>
            <w:r>
              <w:rPr>
                <w:rFonts w:hint="eastAsia" w:ascii="宋体" w:hAnsi="宋体" w:eastAsia="宋体" w:cs="Times New Roman"/>
                <w:color w:val="auto"/>
                <w:szCs w:val="21"/>
              </w:rPr>
              <w:t>总经理</w:t>
            </w:r>
          </w:p>
        </w:tc>
        <w:tc>
          <w:tcPr>
            <w:tcW w:w="1134" w:type="dxa"/>
            <w:vMerge w:val="restart"/>
            <w:shd w:val="clear" w:color="auto" w:fill="auto"/>
            <w:vAlign w:val="center"/>
          </w:tcPr>
          <w:p>
            <w:pPr>
              <w:spacing w:line="520" w:lineRule="exact"/>
              <w:jc w:val="center"/>
              <w:rPr>
                <w:rFonts w:hint="eastAsia" w:ascii="宋体" w:hAnsi="宋体" w:eastAsia="宋体" w:cs="Times New Roman"/>
                <w:color w:val="auto"/>
                <w:szCs w:val="21"/>
                <w:lang w:eastAsia="zh-CN"/>
              </w:rPr>
            </w:pPr>
            <w:r>
              <w:rPr>
                <w:rFonts w:hint="eastAsia" w:ascii="宋体" w:hAnsi="宋体" w:eastAsia="宋体" w:cs="Times New Roman"/>
                <w:color w:val="auto"/>
                <w:szCs w:val="21"/>
                <w:lang w:eastAsia="zh-CN"/>
              </w:rPr>
              <w:t>总裁办</w:t>
            </w:r>
          </w:p>
          <w:p>
            <w:pPr>
              <w:spacing w:line="520" w:lineRule="exact"/>
              <w:jc w:val="center"/>
              <w:rPr>
                <w:rFonts w:ascii="宋体" w:hAnsi="宋体" w:eastAsia="宋体" w:cs="Times New Roman"/>
                <w:color w:val="auto"/>
                <w:szCs w:val="21"/>
              </w:rPr>
            </w:pPr>
            <w:r>
              <w:rPr>
                <w:rFonts w:hint="eastAsia" w:ascii="宋体" w:hAnsi="宋体" w:eastAsia="宋体" w:cs="Times New Roman"/>
                <w:color w:val="auto"/>
                <w:szCs w:val="21"/>
              </w:rPr>
              <w:t>核审备案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985" w:type="dxa"/>
            <w:shd w:val="clear" w:color="auto" w:fill="auto"/>
            <w:vAlign w:val="center"/>
          </w:tcPr>
          <w:p>
            <w:pPr>
              <w:spacing w:line="520" w:lineRule="exact"/>
              <w:jc w:val="center"/>
              <w:rPr>
                <w:rFonts w:ascii="宋体" w:hAnsi="宋体" w:eastAsia="宋体" w:cs="Times New Roman"/>
                <w:color w:val="auto"/>
                <w:szCs w:val="21"/>
              </w:rPr>
            </w:pPr>
            <w:r>
              <w:rPr>
                <w:rFonts w:hint="eastAsia" w:ascii="宋体" w:hAnsi="宋体" w:eastAsia="宋体" w:cs="Times New Roman"/>
                <w:color w:val="auto"/>
                <w:szCs w:val="21"/>
              </w:rPr>
              <w:t>部门总监级</w:t>
            </w:r>
          </w:p>
        </w:tc>
        <w:tc>
          <w:tcPr>
            <w:tcW w:w="5103" w:type="dxa"/>
            <w:gridSpan w:val="2"/>
            <w:shd w:val="clear" w:color="auto" w:fill="auto"/>
            <w:vAlign w:val="center"/>
          </w:tcPr>
          <w:p>
            <w:pPr>
              <w:spacing w:line="520" w:lineRule="exact"/>
              <w:jc w:val="center"/>
              <w:rPr>
                <w:rFonts w:ascii="宋体" w:hAnsi="宋体" w:eastAsia="宋体" w:cs="Times New Roman"/>
                <w:color w:val="auto"/>
                <w:szCs w:val="21"/>
              </w:rPr>
            </w:pPr>
            <w:r>
              <w:rPr>
                <w:rFonts w:hint="eastAsia" w:ascii="宋体" w:hAnsi="宋体" w:eastAsia="宋体" w:cs="Times New Roman"/>
                <w:color w:val="auto"/>
                <w:szCs w:val="21"/>
              </w:rPr>
              <w:t>总经理批准</w:t>
            </w:r>
          </w:p>
        </w:tc>
        <w:tc>
          <w:tcPr>
            <w:tcW w:w="1134" w:type="dxa"/>
            <w:vMerge w:val="continue"/>
            <w:shd w:val="clear" w:color="auto" w:fill="auto"/>
          </w:tcPr>
          <w:p>
            <w:pPr>
              <w:spacing w:line="520" w:lineRule="exact"/>
              <w:jc w:val="center"/>
              <w:rPr>
                <w:rFonts w:ascii="宋体" w:hAnsi="宋体"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088" w:type="dxa"/>
            <w:gridSpan w:val="3"/>
            <w:shd w:val="clear" w:color="auto" w:fill="auto"/>
            <w:vAlign w:val="center"/>
          </w:tcPr>
          <w:p>
            <w:pPr>
              <w:spacing w:line="520" w:lineRule="exact"/>
              <w:rPr>
                <w:rFonts w:ascii="宋体" w:hAnsi="宋体" w:eastAsia="宋体" w:cs="Times New Roman"/>
                <w:color w:val="auto"/>
                <w:szCs w:val="21"/>
              </w:rPr>
            </w:pPr>
            <w:r>
              <w:rPr>
                <w:rFonts w:hint="eastAsia" w:ascii="宋体" w:hAnsi="宋体" w:eastAsia="宋体" w:cs="Times New Roman"/>
                <w:color w:val="auto"/>
                <w:szCs w:val="21"/>
              </w:rPr>
              <w:t>备注：试用期员工外出、请休假，除部门负责人审批外，均需总裁办批准</w:t>
            </w:r>
          </w:p>
        </w:tc>
        <w:tc>
          <w:tcPr>
            <w:tcW w:w="1134" w:type="dxa"/>
            <w:vMerge w:val="continue"/>
            <w:shd w:val="clear" w:color="auto" w:fill="auto"/>
          </w:tcPr>
          <w:p>
            <w:pPr>
              <w:spacing w:line="520" w:lineRule="exact"/>
              <w:jc w:val="center"/>
              <w:rPr>
                <w:rFonts w:ascii="宋体" w:hAnsi="宋体" w:eastAsia="宋体" w:cs="Times New Roman"/>
                <w:color w:val="auto"/>
                <w:szCs w:val="21"/>
              </w:rPr>
            </w:pPr>
          </w:p>
        </w:tc>
      </w:tr>
    </w:tbl>
    <w:p>
      <w:pPr>
        <w:numPr>
          <w:ilvl w:val="0"/>
          <w:numId w:val="16"/>
        </w:numPr>
        <w:spacing w:before="50" w:after="50" w:line="440" w:lineRule="exact"/>
        <w:ind w:left="709" w:hanging="709"/>
        <w:rPr>
          <w:rFonts w:hint="eastAsia" w:ascii="宋体" w:hAnsi="宋体" w:eastAsia="宋体" w:cs="Times New Roman"/>
          <w:color w:val="auto"/>
          <w:szCs w:val="21"/>
        </w:rPr>
      </w:pPr>
      <w:r>
        <w:rPr>
          <w:rFonts w:hint="eastAsia" w:ascii="宋体" w:hAnsi="宋体" w:eastAsia="宋体" w:cs="Times New Roman"/>
          <w:color w:val="auto"/>
          <w:szCs w:val="21"/>
        </w:rPr>
        <w:t>员工休假、出差、外勤前需发布知会，</w:t>
      </w:r>
      <w:r>
        <w:rPr>
          <w:rFonts w:hint="eastAsia" w:ascii="宋体" w:hAnsi="宋体" w:eastAsia="宋体" w:cs="Times New Roman"/>
          <w:color w:val="auto"/>
          <w:szCs w:val="21"/>
          <w:highlight w:val="none"/>
        </w:rPr>
        <w:t>知会以部门微</w:t>
      </w:r>
      <w:r>
        <w:rPr>
          <w:rFonts w:hint="eastAsia" w:ascii="宋体" w:hAnsi="宋体" w:eastAsia="宋体" w:cs="Times New Roman"/>
          <w:color w:val="auto"/>
          <w:szCs w:val="21"/>
        </w:rPr>
        <w:t>信群在公司内部发布，如不能直接发布，可请公司同事代为发布知会；发布知会需明确休假、出差或外勤已得到主管领导的批准，并做好职务代理人的指定和工作交接；知会发送范围：业务相关人员、本部门人员。</w:t>
      </w:r>
    </w:p>
    <w:p>
      <w:pPr>
        <w:numPr>
          <w:ilvl w:val="0"/>
          <w:numId w:val="17"/>
        </w:numPr>
        <w:tabs>
          <w:tab w:val="left" w:pos="709"/>
        </w:tabs>
        <w:spacing w:line="360" w:lineRule="auto"/>
        <w:ind w:left="709" w:hanging="709"/>
        <w:rPr>
          <w:rFonts w:hint="eastAsia" w:ascii="宋体" w:hAnsi="宋体" w:eastAsia="宋体" w:cs="Times New Roman"/>
          <w:snapToGrid w:val="0"/>
          <w:color w:val="auto"/>
          <w:kern w:val="0"/>
          <w:szCs w:val="21"/>
        </w:rPr>
      </w:pPr>
      <w:bookmarkStart w:id="0" w:name="_Toc192580460"/>
      <w:bookmarkStart w:id="1" w:name="_Toc192579681"/>
      <w:bookmarkStart w:id="2" w:name="_Toc192647028"/>
      <w:bookmarkStart w:id="3" w:name="_Toc192647588"/>
      <w:r>
        <w:rPr>
          <w:rFonts w:ascii="宋体" w:hAnsi="宋体" w:eastAsia="宋体" w:cs="Times New Roman"/>
          <w:b/>
          <w:bCs/>
          <w:color w:val="auto"/>
          <w:szCs w:val="21"/>
        </w:rPr>
        <w:t>相关记录</w:t>
      </w:r>
      <w:bookmarkEnd w:id="0"/>
      <w:bookmarkEnd w:id="1"/>
      <w:bookmarkEnd w:id="2"/>
      <w:bookmarkEnd w:id="3"/>
    </w:p>
    <w:p>
      <w:pPr>
        <w:numPr>
          <w:ilvl w:val="0"/>
          <w:numId w:val="18"/>
        </w:numPr>
        <w:tabs>
          <w:tab w:val="left" w:pos="709"/>
        </w:tabs>
        <w:spacing w:line="360" w:lineRule="auto"/>
        <w:ind w:left="709" w:hanging="709"/>
        <w:rPr>
          <w:rFonts w:hint="eastAsia" w:ascii="宋体" w:hAnsi="宋体" w:eastAsia="宋体" w:cs="Times New Roman"/>
          <w:bCs/>
          <w:color w:val="auto"/>
          <w:szCs w:val="21"/>
        </w:rPr>
      </w:pPr>
      <w:r>
        <w:rPr>
          <w:rFonts w:hint="eastAsia" w:ascii="宋体" w:hAnsi="宋体" w:eastAsia="宋体" w:cs="Times New Roman"/>
          <w:bCs/>
          <w:color w:val="auto"/>
          <w:szCs w:val="21"/>
        </w:rPr>
        <w:t>考勤审批单</w:t>
      </w:r>
    </w:p>
    <w:p>
      <w:pPr>
        <w:numPr>
          <w:ilvl w:val="0"/>
          <w:numId w:val="18"/>
        </w:numPr>
        <w:tabs>
          <w:tab w:val="left" w:pos="709"/>
        </w:tabs>
        <w:spacing w:line="360" w:lineRule="auto"/>
        <w:ind w:left="709" w:hanging="709"/>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请休假审批单</w:t>
      </w:r>
    </w:p>
    <w:p>
      <w:pPr>
        <w:numPr>
          <w:ilvl w:val="0"/>
          <w:numId w:val="18"/>
        </w:numPr>
        <w:tabs>
          <w:tab w:val="left" w:pos="709"/>
        </w:tabs>
        <w:spacing w:line="360" w:lineRule="auto"/>
        <w:ind w:left="709" w:hanging="709"/>
        <w:rPr>
          <w:rFonts w:hint="eastAsia" w:ascii="宋体" w:hAnsi="宋体" w:eastAsia="宋体" w:cs="Times New Roman"/>
          <w:bCs/>
          <w:color w:val="auto"/>
          <w:szCs w:val="21"/>
        </w:rPr>
      </w:pPr>
      <w:r>
        <w:rPr>
          <w:rFonts w:hint="eastAsia" w:ascii="宋体" w:hAnsi="宋体" w:eastAsia="宋体" w:cs="Times New Roman"/>
          <w:bCs/>
          <w:color w:val="auto"/>
          <w:szCs w:val="21"/>
        </w:rPr>
        <w:t>外出登记表</w:t>
      </w:r>
    </w:p>
    <w:p>
      <w:pPr>
        <w:numPr>
          <w:ilvl w:val="0"/>
          <w:numId w:val="18"/>
        </w:numPr>
        <w:tabs>
          <w:tab w:val="left" w:pos="709"/>
        </w:tabs>
        <w:spacing w:line="360" w:lineRule="auto"/>
        <w:ind w:left="709" w:hanging="709"/>
        <w:rPr>
          <w:rFonts w:hint="eastAsia"/>
          <w:color w:val="auto"/>
        </w:rPr>
      </w:pPr>
      <w:r>
        <w:rPr>
          <w:rFonts w:hint="eastAsia" w:ascii="宋体" w:hAnsi="宋体" w:eastAsia="宋体" w:cs="Times New Roman"/>
          <w:bCs/>
          <w:color w:val="auto"/>
          <w:szCs w:val="21"/>
        </w:rPr>
        <w:t>出差审批单</w:t>
      </w:r>
    </w:p>
    <w:p>
      <w:pPr>
        <w:numPr>
          <w:numId w:val="0"/>
        </w:numPr>
        <w:tabs>
          <w:tab w:val="left" w:pos="709"/>
        </w:tabs>
        <w:spacing w:line="360" w:lineRule="auto"/>
        <w:ind w:leftChars="0"/>
        <w:rPr>
          <w:rFonts w:hint="eastAsia"/>
          <w:color w:val="auto"/>
        </w:rPr>
      </w:pPr>
      <w:bookmarkStart w:id="8" w:name="_GoBack"/>
      <w:bookmarkEnd w:id="8"/>
    </w:p>
    <w:p>
      <w:pPr>
        <w:tabs>
          <w:tab w:val="left" w:pos="709"/>
        </w:tabs>
        <w:spacing w:line="360" w:lineRule="auto"/>
        <w:rPr>
          <w:rFonts w:ascii="宋体" w:hAnsi="宋体" w:eastAsia="宋体" w:cs="Times New Roman"/>
          <w:b/>
          <w:bCs/>
          <w:color w:val="auto"/>
          <w:sz w:val="32"/>
          <w:szCs w:val="32"/>
        </w:rPr>
      </w:pPr>
      <w:r>
        <w:rPr>
          <w:rFonts w:hint="eastAsia" w:ascii="宋体" w:hAnsi="宋体" w:eastAsia="宋体" w:cs="Times New Roman"/>
          <w:b/>
          <w:bCs/>
          <w:color w:val="auto"/>
          <w:sz w:val="32"/>
          <w:szCs w:val="32"/>
        </w:rPr>
        <w:t>二、法律风控管理制度</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目    的</w:t>
      </w:r>
    </w:p>
    <w:p>
      <w:pPr>
        <w:tabs>
          <w:tab w:val="left" w:pos="709"/>
        </w:tabs>
        <w:spacing w:line="360" w:lineRule="auto"/>
        <w:rPr>
          <w:rFonts w:ascii="宋体" w:hAnsi="宋体" w:eastAsia="宋体" w:cs="Times New Roman"/>
          <w:bCs/>
          <w:color w:val="auto"/>
          <w:szCs w:val="21"/>
        </w:rPr>
      </w:pPr>
      <w:r>
        <w:rPr>
          <w:rFonts w:hint="eastAsia" w:ascii="宋体" w:hAnsi="宋体" w:eastAsia="宋体" w:cs="Times New Roman"/>
          <w:bCs/>
          <w:color w:val="auto"/>
          <w:szCs w:val="21"/>
        </w:rPr>
        <w:t>规范公司法务工作的相关程序，掌握法律法规的动态，合理规避公司经营的法律风险。</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范    围</w:t>
      </w:r>
    </w:p>
    <w:p>
      <w:pPr>
        <w:tabs>
          <w:tab w:val="left" w:pos="709"/>
        </w:tabs>
        <w:spacing w:line="360" w:lineRule="auto"/>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公司所有法律事务的活动，包括法律支持、法律文书审查和诉讼事务处理等。</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3.</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职    责</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3.1</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总裁办</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受理法律咨询、起诉、应诉；</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负责外聘律师的聘请与日常对接工作；</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3)</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审核合同、法律文书，出具法律意见。</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3.2</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各部门</w:t>
      </w:r>
    </w:p>
    <w:p>
      <w:pPr>
        <w:tabs>
          <w:tab w:val="left" w:pos="709"/>
        </w:tabs>
        <w:spacing w:line="360" w:lineRule="auto"/>
        <w:rPr>
          <w:rFonts w:ascii="宋体" w:hAnsi="宋体" w:eastAsia="宋体" w:cs="Times New Roman"/>
          <w:bCs/>
          <w:color w:val="auto"/>
          <w:szCs w:val="21"/>
          <w:highlight w:val="none"/>
        </w:rPr>
      </w:pPr>
      <w:r>
        <w:rPr>
          <w:rFonts w:hint="eastAsia" w:ascii="宋体" w:hAnsi="宋体" w:eastAsia="宋体" w:cs="Times New Roman"/>
          <w:bCs/>
          <w:color w:val="auto"/>
          <w:szCs w:val="21"/>
          <w:highlight w:val="none"/>
        </w:rPr>
        <w:t>配合法律起诉与应诉所需有关的资料。</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4.</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管理规定</w:t>
      </w:r>
    </w:p>
    <w:p>
      <w:pPr>
        <w:tabs>
          <w:tab w:val="left" w:pos="709"/>
        </w:tabs>
        <w:spacing w:line="360" w:lineRule="auto"/>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4.1</w:t>
      </w:r>
      <w:r>
        <w:rPr>
          <w:rFonts w:hint="eastAsia" w:ascii="宋体" w:hAnsi="宋体" w:eastAsia="宋体" w:cs="Times New Roman"/>
          <w:bCs/>
          <w:color w:val="auto"/>
          <w:szCs w:val="21"/>
          <w:highlight w:val="none"/>
        </w:rPr>
        <w:tab/>
      </w:r>
      <w:r>
        <w:rPr>
          <w:rFonts w:hint="eastAsia" w:ascii="宋体" w:hAnsi="宋体" w:eastAsia="宋体" w:cs="Times New Roman"/>
          <w:bCs/>
          <w:color w:val="auto"/>
          <w:szCs w:val="21"/>
          <w:highlight w:val="none"/>
        </w:rPr>
        <w:t>合同、对外法律文件审查</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4.1.1</w:t>
      </w:r>
      <w:r>
        <w:rPr>
          <w:rFonts w:hint="eastAsia" w:ascii="宋体" w:hAnsi="宋体" w:eastAsia="宋体" w:cs="Times New Roman"/>
          <w:bCs/>
          <w:color w:val="auto"/>
          <w:szCs w:val="21"/>
        </w:rPr>
        <w:tab/>
      </w:r>
      <w:r>
        <w:rPr>
          <w:rFonts w:hint="eastAsia" w:ascii="宋体" w:hAnsi="宋体" w:eastAsia="宋体" w:cs="Times New Roman"/>
          <w:bCs/>
          <w:color w:val="auto"/>
          <w:szCs w:val="21"/>
        </w:rPr>
        <w:t>公司发出的涉及对外文字承诺、法律文件，原则上正式发出前，须经总裁办审核，报批通过后方可对外发送。</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法律文书类包括申请书、承诺书、确认书、担保函、保证书、声明、授权委托书、通知函（包括催款函、入伙通知、办证通知、索赔函、解约函及其他通知函）等。</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4.1.</w:t>
      </w:r>
      <w:r>
        <w:rPr>
          <w:rFonts w:hint="eastAsia" w:ascii="宋体" w:hAnsi="宋体" w:eastAsia="宋体" w:cs="Times New Roman"/>
          <w:bCs/>
          <w:color w:val="auto"/>
          <w:szCs w:val="21"/>
          <w:lang w:val="en-US" w:eastAsia="zh-CN"/>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下列文件原则上需总裁办参与、配合、建议、提供法律意见，并视情况出具《法律意见书》：</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项目可行性研究报告（包含经济测算等）；</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重大安全质量事故处理方案制定与检查；</w:t>
      </w:r>
      <w:r>
        <w:rPr>
          <w:rFonts w:hint="eastAsia" w:ascii="宋体" w:hAnsi="宋体" w:eastAsia="宋体" w:cs="Times New Roman"/>
          <w:bCs/>
          <w:color w:val="auto"/>
          <w:szCs w:val="21"/>
        </w:rPr>
        <w:tab/>
      </w:r>
      <w:r>
        <w:rPr>
          <w:rFonts w:hint="eastAsia" w:ascii="宋体" w:hAnsi="宋体" w:eastAsia="宋体" w:cs="Times New Roman"/>
          <w:bCs/>
          <w:color w:val="auto"/>
          <w:szCs w:val="21"/>
        </w:rPr>
        <w:tab/>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w:t>
      </w:r>
      <w:r>
        <w:rPr>
          <w:rFonts w:hint="eastAsia" w:ascii="宋体" w:hAnsi="宋体" w:eastAsia="宋体" w:cs="Times New Roman"/>
          <w:bCs/>
          <w:color w:val="auto"/>
          <w:szCs w:val="21"/>
        </w:rPr>
        <w:tab/>
      </w:r>
      <w:r>
        <w:rPr>
          <w:rFonts w:hint="eastAsia" w:ascii="宋体" w:hAnsi="宋体" w:eastAsia="宋体" w:cs="Times New Roman"/>
          <w:bCs/>
          <w:color w:val="auto"/>
          <w:szCs w:val="21"/>
        </w:rPr>
        <w:t>客户危机事件处理。</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4.2</w:t>
      </w:r>
      <w:r>
        <w:rPr>
          <w:rFonts w:hint="eastAsia" w:ascii="宋体" w:hAnsi="宋体" w:eastAsia="宋体" w:cs="Times New Roman"/>
          <w:bCs/>
          <w:color w:val="auto"/>
          <w:szCs w:val="21"/>
        </w:rPr>
        <w:tab/>
      </w:r>
      <w:r>
        <w:rPr>
          <w:rFonts w:hint="eastAsia" w:ascii="宋体" w:hAnsi="宋体" w:eastAsia="宋体" w:cs="Times New Roman"/>
          <w:bCs/>
          <w:color w:val="auto"/>
          <w:szCs w:val="21"/>
        </w:rPr>
        <w:t>案件诉讼</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4.2.1</w:t>
      </w:r>
      <w:r>
        <w:rPr>
          <w:rFonts w:hint="eastAsia" w:ascii="宋体" w:hAnsi="宋体" w:eastAsia="宋体" w:cs="Times New Roman"/>
          <w:bCs/>
          <w:color w:val="auto"/>
          <w:szCs w:val="21"/>
        </w:rPr>
        <w:tab/>
      </w:r>
      <w:r>
        <w:rPr>
          <w:rFonts w:hint="eastAsia" w:ascii="宋体" w:hAnsi="宋体" w:eastAsia="宋体" w:cs="Times New Roman"/>
          <w:bCs/>
          <w:color w:val="auto"/>
          <w:szCs w:val="21"/>
        </w:rPr>
        <w:t>公司的所有诉讼事宜均需报总裁办书面材料，经总裁批准方可视具体情况自行处理或委托外部律师自行处理。</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4.2.2</w:t>
      </w:r>
      <w:r>
        <w:rPr>
          <w:rFonts w:hint="eastAsia" w:ascii="宋体" w:hAnsi="宋体" w:eastAsia="宋体" w:cs="Times New Roman"/>
          <w:bCs/>
          <w:color w:val="auto"/>
          <w:szCs w:val="21"/>
        </w:rPr>
        <w:tab/>
      </w:r>
      <w:r>
        <w:rPr>
          <w:rFonts w:hint="eastAsia" w:ascii="宋体" w:hAnsi="宋体" w:eastAsia="宋体" w:cs="Times New Roman"/>
          <w:bCs/>
          <w:color w:val="auto"/>
          <w:szCs w:val="21"/>
        </w:rPr>
        <w:t>案件的各个环节涉及经济指标的，特别是起诉和调解阶段，涉及相关数据指标计算的，由财务资金部或成本管理部负责计算并将计算结果和相关数据提供给总裁办，经总裁批准，以此作为案件审理中的依据和向法庭提交的相关数据证据。遇有意见差异明显的情况时，以法人代表或其授权人批准的为最终意见；</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4.2.3</w:t>
      </w:r>
      <w:r>
        <w:rPr>
          <w:rFonts w:hint="eastAsia" w:ascii="宋体" w:hAnsi="宋体" w:eastAsia="宋体" w:cs="Times New Roman"/>
          <w:bCs/>
          <w:color w:val="auto"/>
          <w:szCs w:val="21"/>
        </w:rPr>
        <w:tab/>
      </w:r>
      <w:r>
        <w:rPr>
          <w:rFonts w:hint="eastAsia" w:ascii="宋体" w:hAnsi="宋体" w:eastAsia="宋体" w:cs="Times New Roman"/>
          <w:bCs/>
          <w:color w:val="auto"/>
          <w:szCs w:val="21"/>
        </w:rPr>
        <w:t>案件执行完毕后，方可视为案件终结，由总经办整理案卷，归档保存。</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4.3</w:t>
      </w:r>
      <w:r>
        <w:rPr>
          <w:rFonts w:hint="eastAsia" w:ascii="宋体" w:hAnsi="宋体" w:eastAsia="宋体" w:cs="Times New Roman"/>
          <w:bCs/>
          <w:color w:val="auto"/>
          <w:szCs w:val="21"/>
        </w:rPr>
        <w:tab/>
      </w:r>
      <w:r>
        <w:rPr>
          <w:rFonts w:hint="eastAsia" w:ascii="宋体" w:hAnsi="宋体" w:eastAsia="宋体" w:cs="Times New Roman"/>
          <w:bCs/>
          <w:color w:val="auto"/>
          <w:szCs w:val="21"/>
        </w:rPr>
        <w:t>外聘律师管理</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4.3.1</w:t>
      </w:r>
      <w:r>
        <w:rPr>
          <w:rFonts w:hint="eastAsia" w:ascii="宋体" w:hAnsi="宋体" w:eastAsia="宋体" w:cs="Times New Roman"/>
          <w:bCs/>
          <w:color w:val="auto"/>
          <w:szCs w:val="21"/>
        </w:rPr>
        <w:tab/>
      </w:r>
      <w:r>
        <w:rPr>
          <w:rFonts w:hint="eastAsia" w:ascii="宋体" w:hAnsi="宋体" w:eastAsia="宋体" w:cs="Times New Roman"/>
          <w:bCs/>
          <w:color w:val="auto"/>
          <w:szCs w:val="21"/>
        </w:rPr>
        <w:t>公司对法律顾问（律师事务所）的选择：由总裁办负责考察，考察结束后出具专业意见及提供律师事务所信息，经总裁批准后和其签订法律服务的合同（或协议）。</w:t>
      </w:r>
    </w:p>
    <w:p>
      <w:pPr>
        <w:tabs>
          <w:tab w:val="left" w:pos="600"/>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4.3.2</w:t>
      </w:r>
      <w:r>
        <w:rPr>
          <w:rFonts w:hint="eastAsia" w:ascii="宋体" w:hAnsi="宋体" w:eastAsia="宋体" w:cs="Times New Roman"/>
          <w:bCs/>
          <w:color w:val="auto"/>
          <w:szCs w:val="21"/>
        </w:rPr>
        <w:tab/>
      </w:r>
      <w:r>
        <w:rPr>
          <w:rFonts w:hint="eastAsia" w:ascii="宋体" w:hAnsi="宋体" w:eastAsia="宋体" w:cs="Times New Roman"/>
          <w:bCs/>
          <w:color w:val="auto"/>
          <w:szCs w:val="21"/>
        </w:rPr>
        <w:t>根据合同（或协议）的执行情况，由总裁办负责办理费用结算。</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4.4</w:t>
      </w:r>
      <w:r>
        <w:rPr>
          <w:rFonts w:hint="eastAsia" w:ascii="宋体" w:hAnsi="宋体" w:eastAsia="宋体" w:cs="Times New Roman"/>
          <w:bCs/>
          <w:color w:val="auto"/>
          <w:szCs w:val="21"/>
        </w:rPr>
        <w:tab/>
      </w:r>
      <w:r>
        <w:rPr>
          <w:rFonts w:hint="eastAsia" w:ascii="宋体" w:hAnsi="宋体" w:eastAsia="宋体" w:cs="Times New Roman"/>
          <w:bCs/>
          <w:color w:val="auto"/>
          <w:szCs w:val="21"/>
        </w:rPr>
        <w:t>法律咨询</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4.4.1</w:t>
      </w:r>
      <w:r>
        <w:rPr>
          <w:rFonts w:hint="eastAsia" w:ascii="宋体" w:hAnsi="宋体" w:eastAsia="宋体" w:cs="Times New Roman"/>
          <w:bCs/>
          <w:color w:val="auto"/>
          <w:szCs w:val="21"/>
        </w:rPr>
        <w:tab/>
      </w:r>
      <w:r>
        <w:rPr>
          <w:rFonts w:hint="eastAsia" w:ascii="宋体" w:hAnsi="宋体" w:eastAsia="宋体" w:cs="Times New Roman"/>
          <w:bCs/>
          <w:color w:val="auto"/>
          <w:szCs w:val="21"/>
        </w:rPr>
        <w:t>总裁办有义务解答或联系外部法律顾问解答公司各部门及公司管理层涉及公司业务和管理的法律咨询。</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4.4.2</w:t>
      </w:r>
      <w:r>
        <w:rPr>
          <w:rFonts w:hint="eastAsia" w:ascii="宋体" w:hAnsi="宋体" w:eastAsia="宋体" w:cs="Times New Roman"/>
          <w:bCs/>
          <w:color w:val="auto"/>
          <w:szCs w:val="21"/>
        </w:rPr>
        <w:tab/>
      </w:r>
      <w:r>
        <w:rPr>
          <w:rFonts w:hint="eastAsia" w:ascii="宋体" w:hAnsi="宋体" w:eastAsia="宋体" w:cs="Times New Roman"/>
          <w:bCs/>
          <w:color w:val="auto"/>
          <w:szCs w:val="21"/>
        </w:rPr>
        <w:t>对于经办部门提交书面咨询意见的咨询及重要咨询，总裁办向经办部门了解实际情况后，及时解答，或联系外部法律顾问以书面方式解答。</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4.4.3</w:t>
      </w:r>
      <w:r>
        <w:rPr>
          <w:rFonts w:hint="eastAsia" w:ascii="宋体" w:hAnsi="宋体" w:eastAsia="宋体" w:cs="Times New Roman"/>
          <w:bCs/>
          <w:color w:val="auto"/>
          <w:szCs w:val="21"/>
        </w:rPr>
        <w:tab/>
      </w:r>
      <w:r>
        <w:rPr>
          <w:rFonts w:hint="eastAsia" w:ascii="宋体" w:hAnsi="宋体" w:eastAsia="宋体" w:cs="Times New Roman"/>
          <w:bCs/>
          <w:color w:val="auto"/>
          <w:szCs w:val="21"/>
        </w:rPr>
        <w:t>与开发项目有关时，总裁办准备项目所需的法律文件，协助办理项目抵押、担保、公证等手续，起草或审查项目相关合同、协议等，必要时，由外聘律师予以协助。</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4.5</w:t>
      </w:r>
      <w:r>
        <w:rPr>
          <w:rFonts w:hint="eastAsia" w:ascii="宋体" w:hAnsi="宋体" w:eastAsia="宋体" w:cs="Times New Roman"/>
          <w:bCs/>
          <w:color w:val="auto"/>
          <w:szCs w:val="21"/>
        </w:rPr>
        <w:tab/>
      </w:r>
      <w:r>
        <w:rPr>
          <w:rFonts w:hint="eastAsia" w:ascii="宋体" w:hAnsi="宋体" w:eastAsia="宋体" w:cs="Times New Roman"/>
          <w:bCs/>
          <w:color w:val="auto"/>
          <w:szCs w:val="21"/>
        </w:rPr>
        <w:t>法律文件、资料的存档管理</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4.5.1</w:t>
      </w:r>
      <w:r>
        <w:rPr>
          <w:rFonts w:hint="eastAsia" w:ascii="宋体" w:hAnsi="宋体" w:eastAsia="宋体" w:cs="Times New Roman"/>
          <w:bCs/>
          <w:color w:val="auto"/>
          <w:szCs w:val="21"/>
        </w:rPr>
        <w:tab/>
      </w:r>
      <w:r>
        <w:rPr>
          <w:rFonts w:hint="eastAsia" w:ascii="宋体" w:hAnsi="宋体" w:eastAsia="宋体" w:cs="Times New Roman"/>
          <w:bCs/>
          <w:color w:val="auto"/>
          <w:szCs w:val="21"/>
        </w:rPr>
        <w:t>法律文件、资料原件原则上应由公司档案室永久保留，法律文件的保管、借阅、销毁等档案管理工作，具体执行《档案管理制度》。</w:t>
      </w:r>
    </w:p>
    <w:p>
      <w:pPr>
        <w:tabs>
          <w:tab w:val="left" w:pos="709"/>
        </w:tabs>
        <w:spacing w:line="360" w:lineRule="auto"/>
        <w:rPr>
          <w:rFonts w:hint="eastAsia" w:ascii="宋体" w:hAnsi="宋体" w:eastAsia="宋体" w:cs="Times New Roman"/>
          <w:b/>
          <w:bCs/>
          <w:color w:val="auto"/>
          <w:sz w:val="32"/>
          <w:szCs w:val="32"/>
        </w:rPr>
      </w:pPr>
      <w:r>
        <w:rPr>
          <w:rFonts w:hint="eastAsia" w:ascii="宋体" w:hAnsi="宋体" w:eastAsia="宋体" w:cs="Times New Roman"/>
          <w:b/>
          <w:bCs/>
          <w:color w:val="auto"/>
          <w:sz w:val="32"/>
          <w:szCs w:val="32"/>
        </w:rPr>
        <w:t>三、新项目投资前期评估管理</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目    的</w:t>
      </w:r>
    </w:p>
    <w:p>
      <w:pPr>
        <w:tabs>
          <w:tab w:val="left" w:pos="709"/>
        </w:tabs>
        <w:spacing w:line="360" w:lineRule="auto"/>
        <w:rPr>
          <w:rFonts w:ascii="宋体" w:hAnsi="宋体" w:eastAsia="宋体" w:cs="Times New Roman"/>
          <w:bCs/>
          <w:color w:val="auto"/>
          <w:szCs w:val="21"/>
        </w:rPr>
      </w:pPr>
      <w:r>
        <w:rPr>
          <w:rFonts w:hint="eastAsia" w:ascii="宋体" w:hAnsi="宋体" w:eastAsia="宋体" w:cs="Times New Roman"/>
          <w:bCs/>
          <w:color w:val="auto"/>
          <w:szCs w:val="21"/>
        </w:rPr>
        <w:t>通过对城市产业、区域市场信息以及竞争项目进行跟踪、搜集、分析，评价项目盈利能力及可行性，也为未来可能的项目运作产品定位及招商销售策略的制定/调整提供依据。</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适用范围</w:t>
      </w:r>
    </w:p>
    <w:p>
      <w:pPr>
        <w:tabs>
          <w:tab w:val="left" w:pos="709"/>
        </w:tabs>
        <w:spacing w:line="360" w:lineRule="auto"/>
        <w:rPr>
          <w:rFonts w:ascii="宋体" w:hAnsi="宋体" w:eastAsia="宋体" w:cs="Times New Roman"/>
          <w:bCs/>
          <w:color w:val="auto"/>
          <w:szCs w:val="21"/>
        </w:rPr>
      </w:pPr>
      <w:r>
        <w:rPr>
          <w:rFonts w:hint="eastAsia" w:ascii="宋体" w:hAnsi="宋体" w:eastAsia="宋体" w:cs="Times New Roman"/>
          <w:bCs/>
          <w:color w:val="auto"/>
          <w:szCs w:val="21"/>
        </w:rPr>
        <w:t>适用于公司项目投资决策阶段的专项市场调研工作。</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w:t>
      </w:r>
      <w:r>
        <w:rPr>
          <w:rFonts w:hint="eastAsia" w:ascii="宋体" w:hAnsi="宋体" w:eastAsia="宋体" w:cs="Times New Roman"/>
          <w:bCs/>
          <w:color w:val="auto"/>
          <w:szCs w:val="21"/>
        </w:rPr>
        <w:tab/>
      </w:r>
      <w:r>
        <w:rPr>
          <w:rFonts w:hint="eastAsia" w:ascii="宋体" w:hAnsi="宋体" w:eastAsia="宋体" w:cs="Times New Roman"/>
          <w:bCs/>
          <w:color w:val="auto"/>
          <w:szCs w:val="21"/>
        </w:rPr>
        <w:t>职    责</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3.1</w:t>
      </w:r>
      <w:r>
        <w:rPr>
          <w:rFonts w:hint="eastAsia" w:ascii="宋体" w:hAnsi="宋体" w:eastAsia="宋体" w:cs="Times New Roman"/>
          <w:bCs/>
          <w:color w:val="auto"/>
          <w:szCs w:val="21"/>
        </w:rPr>
        <w:tab/>
      </w:r>
      <w:r>
        <w:rPr>
          <w:rFonts w:hint="eastAsia" w:ascii="宋体" w:hAnsi="宋体" w:eastAsia="宋体" w:cs="Times New Roman"/>
          <w:bCs/>
          <w:color w:val="auto"/>
          <w:szCs w:val="21"/>
        </w:rPr>
        <w:t>总裁办公室、工程部、营销中心</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组织调研公司初选，向公司领导提报建议的调研公司名单；</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自主调研时，负责组织开展市场调研工作并出具市场调研报告；</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w:t>
      </w:r>
      <w:r>
        <w:rPr>
          <w:rFonts w:hint="eastAsia" w:ascii="宋体" w:hAnsi="宋体" w:eastAsia="宋体" w:cs="Times New Roman"/>
          <w:bCs/>
          <w:color w:val="auto"/>
          <w:szCs w:val="21"/>
        </w:rPr>
        <w:tab/>
      </w:r>
      <w:r>
        <w:rPr>
          <w:rFonts w:hint="eastAsia" w:ascii="宋体" w:hAnsi="宋体" w:eastAsia="宋体" w:cs="Times New Roman"/>
          <w:bCs/>
          <w:color w:val="auto"/>
          <w:szCs w:val="21"/>
        </w:rPr>
        <w:t>委托调研时，负责调研过程的监督、沟通与协调；</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w:t>
      </w:r>
      <w:r>
        <w:rPr>
          <w:rFonts w:hint="eastAsia" w:ascii="宋体" w:hAnsi="宋体" w:eastAsia="宋体" w:cs="Times New Roman"/>
          <w:bCs/>
          <w:color w:val="auto"/>
          <w:szCs w:val="21"/>
        </w:rPr>
        <w:tab/>
      </w:r>
      <w:r>
        <w:rPr>
          <w:rFonts w:hint="eastAsia" w:ascii="宋体" w:hAnsi="宋体" w:eastAsia="宋体" w:cs="Times New Roman"/>
          <w:bCs/>
          <w:color w:val="auto"/>
          <w:szCs w:val="21"/>
        </w:rPr>
        <w:t>组织调研成果的整理、审核和汇报。</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3.2</w:t>
      </w:r>
      <w:r>
        <w:rPr>
          <w:rFonts w:hint="eastAsia" w:ascii="宋体" w:hAnsi="宋体" w:eastAsia="宋体" w:cs="Times New Roman"/>
          <w:bCs/>
          <w:color w:val="auto"/>
          <w:szCs w:val="21"/>
        </w:rPr>
        <w:tab/>
      </w:r>
      <w:r>
        <w:rPr>
          <w:rFonts w:hint="eastAsia" w:ascii="宋体" w:hAnsi="宋体" w:eastAsia="宋体" w:cs="Times New Roman"/>
          <w:bCs/>
          <w:color w:val="auto"/>
          <w:szCs w:val="21"/>
        </w:rPr>
        <w:t>调研公司（当市调与策划委托同一家策划公司时，此处也可直接称为策划公司）</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按委托合同要求，具体开展市场调研工作；</w:t>
      </w:r>
    </w:p>
    <w:p>
      <w:pPr>
        <w:tabs>
          <w:tab w:val="left" w:pos="709"/>
        </w:tabs>
        <w:spacing w:line="360" w:lineRule="auto"/>
        <w:rPr>
          <w:rFonts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收集、统计并分析调研数据，出具市场调研报告（如市调和定位策划工作均委托同一家公司，则市调报告和定位策划报告可以合并编制和报批）。</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w:t>
      </w:r>
      <w:r>
        <w:rPr>
          <w:rFonts w:hint="eastAsia" w:ascii="宋体" w:hAnsi="宋体" w:eastAsia="宋体" w:cs="Times New Roman"/>
          <w:bCs/>
          <w:color w:val="auto"/>
          <w:szCs w:val="21"/>
        </w:rPr>
        <w:tab/>
      </w:r>
      <w:r>
        <w:rPr>
          <w:rFonts w:hint="eastAsia" w:ascii="宋体" w:hAnsi="宋体" w:eastAsia="宋体" w:cs="Times New Roman"/>
          <w:bCs/>
          <w:color w:val="auto"/>
          <w:szCs w:val="21"/>
        </w:rPr>
        <w:t>关键活动描述</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4.1</w:t>
      </w:r>
      <w:r>
        <w:rPr>
          <w:rFonts w:hint="eastAsia" w:ascii="宋体" w:hAnsi="宋体" w:eastAsia="宋体" w:cs="Times New Roman"/>
          <w:bCs/>
          <w:color w:val="auto"/>
          <w:szCs w:val="21"/>
        </w:rPr>
        <w:tab/>
      </w:r>
      <w:r>
        <w:rPr>
          <w:rFonts w:hint="eastAsia" w:ascii="宋体" w:hAnsi="宋体" w:eastAsia="宋体" w:cs="Times New Roman"/>
          <w:bCs/>
          <w:color w:val="auto"/>
          <w:szCs w:val="21"/>
        </w:rPr>
        <w:t>市场调研的组织方式</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市场调研分自主调研和委托调研两种方式，具体实施时可根据调研要求的高低、工作量的大小及工作内容等确定调研方式。</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如果需要选择调研公司，则由招商运营中心按公司招投标制度组织完成调研公司的选择和委托合同的签订，后续调研工作由调研公司具体负责，招商运营中心负责对调研公司提交成果进行审核把关。</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4.2</w:t>
      </w:r>
      <w:r>
        <w:rPr>
          <w:rFonts w:hint="eastAsia" w:ascii="宋体" w:hAnsi="宋体" w:eastAsia="宋体" w:cs="Times New Roman"/>
          <w:bCs/>
          <w:color w:val="auto"/>
          <w:szCs w:val="21"/>
        </w:rPr>
        <w:tab/>
      </w:r>
      <w:r>
        <w:rPr>
          <w:rFonts w:hint="eastAsia" w:ascii="宋体" w:hAnsi="宋体" w:eastAsia="宋体" w:cs="Times New Roman"/>
          <w:bCs/>
          <w:color w:val="auto"/>
          <w:szCs w:val="21"/>
        </w:rPr>
        <w:t>前期市场调研时间与内容</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前期市场调研工作在项目摘牌前完成，市场调研的内容要求如下：</w:t>
      </w:r>
    </w:p>
    <w:tbl>
      <w:tblPr>
        <w:tblStyle w:val="4"/>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00"/>
        <w:gridCol w:w="6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shd w:val="clear" w:color="auto" w:fill="auto"/>
            <w:vAlign w:val="center"/>
          </w:tcPr>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调研框架</w:t>
            </w:r>
          </w:p>
        </w:tc>
        <w:tc>
          <w:tcPr>
            <w:tcW w:w="1900" w:type="dxa"/>
            <w:shd w:val="clear" w:color="auto" w:fill="auto"/>
            <w:vAlign w:val="center"/>
          </w:tcPr>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调研内容</w:t>
            </w:r>
          </w:p>
        </w:tc>
        <w:tc>
          <w:tcPr>
            <w:tcW w:w="6797" w:type="dxa"/>
            <w:shd w:val="clear" w:color="auto" w:fill="auto"/>
            <w:vAlign w:val="center"/>
          </w:tcPr>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细项内容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48" w:type="dxa"/>
            <w:vMerge w:val="restart"/>
            <w:shd w:val="clear" w:color="auto" w:fill="auto"/>
            <w:vAlign w:val="center"/>
          </w:tcPr>
          <w:p>
            <w:pPr>
              <w:adjustRightInd w:val="0"/>
              <w:snapToGrid w:val="0"/>
              <w:spacing w:line="300" w:lineRule="auto"/>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宏</w:t>
            </w:r>
          </w:p>
          <w:p>
            <w:pPr>
              <w:adjustRightInd w:val="0"/>
              <w:snapToGrid w:val="0"/>
              <w:spacing w:line="300" w:lineRule="auto"/>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观</w:t>
            </w:r>
          </w:p>
          <w:p>
            <w:pPr>
              <w:adjustRightInd w:val="0"/>
              <w:snapToGrid w:val="0"/>
              <w:spacing w:line="300" w:lineRule="auto"/>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环</w:t>
            </w:r>
          </w:p>
          <w:p>
            <w:pPr>
              <w:adjustRightInd w:val="0"/>
              <w:snapToGrid w:val="0"/>
              <w:spacing w:line="300" w:lineRule="auto"/>
              <w:ind w:left="2"/>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境</w:t>
            </w:r>
          </w:p>
          <w:p>
            <w:pPr>
              <w:adjustRightInd w:val="0"/>
              <w:snapToGrid w:val="0"/>
              <w:spacing w:line="300" w:lineRule="auto"/>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调</w:t>
            </w:r>
          </w:p>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研</w:t>
            </w:r>
          </w:p>
        </w:tc>
        <w:tc>
          <w:tcPr>
            <w:tcW w:w="1900" w:type="dxa"/>
            <w:shd w:val="clear" w:color="auto" w:fill="auto"/>
            <w:vAlign w:val="center"/>
          </w:tcPr>
          <w:p>
            <w:pPr>
              <w:adjustRightInd w:val="0"/>
              <w:snapToGrid w:val="0"/>
              <w:spacing w:line="300" w:lineRule="auto"/>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城市经济发展环境</w:t>
            </w:r>
          </w:p>
        </w:tc>
        <w:tc>
          <w:tcPr>
            <w:tcW w:w="6797" w:type="dxa"/>
            <w:shd w:val="clear" w:color="auto" w:fill="auto"/>
            <w:vAlign w:val="center"/>
          </w:tcPr>
          <w:p>
            <w:p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包括城市的经济发展水平、城市居民的人均收入水平、可支配收入水平、储蓄和信贷水平、消费支出水平模式和消费结构状况。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城市人口环境</w:t>
            </w:r>
          </w:p>
        </w:tc>
        <w:tc>
          <w:tcPr>
            <w:tcW w:w="6797" w:type="dxa"/>
            <w:shd w:val="clear" w:color="auto" w:fill="auto"/>
            <w:vAlign w:val="center"/>
          </w:tcPr>
          <w:p>
            <w:p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包括城市的人口总量，人口的地理分布状况，高、中、低收入人群各自所占的比例及其分布状况，居民的职业特征及年龄结构、性别结构、民族结构特征等。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ind w:left="718" w:leftChars="77" w:hanging="556" w:hangingChars="265"/>
              <w:jc w:val="center"/>
              <w:rPr>
                <w:rFonts w:ascii="宋体" w:hAnsi="宋体" w:eastAsia="宋体" w:cs="Times New Roman"/>
                <w:bCs/>
                <w:color w:val="auto"/>
                <w:szCs w:val="21"/>
              </w:rPr>
            </w:pPr>
            <w:r>
              <w:rPr>
                <w:rFonts w:hint="eastAsia" w:ascii="宋体" w:hAnsi="宋体" w:eastAsia="宋体" w:cs="Times New Roman"/>
                <w:bCs/>
                <w:color w:val="auto"/>
                <w:szCs w:val="21"/>
              </w:rPr>
              <w:t>人文环境</w:t>
            </w:r>
          </w:p>
        </w:tc>
        <w:tc>
          <w:tcPr>
            <w:tcW w:w="6797" w:type="dxa"/>
            <w:shd w:val="clear" w:color="auto" w:fill="auto"/>
            <w:vAlign w:val="center"/>
          </w:tcPr>
          <w:p>
            <w:pPr>
              <w:adjustRightInd w:val="0"/>
              <w:snapToGrid w:val="0"/>
              <w:spacing w:line="300" w:lineRule="auto"/>
              <w:ind w:left="46" w:leftChars="22" w:firstLine="2"/>
              <w:rPr>
                <w:rFonts w:ascii="宋体" w:hAnsi="宋体" w:eastAsia="宋体" w:cs="Times New Roman"/>
                <w:bCs/>
                <w:color w:val="auto"/>
                <w:szCs w:val="21"/>
              </w:rPr>
            </w:pPr>
            <w:r>
              <w:rPr>
                <w:rFonts w:hint="eastAsia" w:ascii="宋体" w:hAnsi="宋体" w:eastAsia="宋体" w:cs="Times New Roman"/>
                <w:bCs/>
                <w:color w:val="auto"/>
                <w:szCs w:val="21"/>
              </w:rPr>
              <w:t>包括价值观念、宗教信仰、道德观念、审美观念和世代相传的风俗习惯等。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ind w:left="718" w:leftChars="77" w:hanging="556" w:hangingChars="265"/>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产业</w:t>
            </w:r>
            <w:r>
              <w:rPr>
                <w:rFonts w:ascii="宋体" w:hAnsi="宋体" w:eastAsia="宋体" w:cs="Times New Roman"/>
                <w:bCs/>
                <w:color w:val="auto"/>
                <w:szCs w:val="21"/>
              </w:rPr>
              <w:t>政策</w:t>
            </w:r>
          </w:p>
        </w:tc>
        <w:tc>
          <w:tcPr>
            <w:tcW w:w="6797" w:type="dxa"/>
            <w:shd w:val="clear" w:color="auto" w:fill="auto"/>
            <w:vAlign w:val="center"/>
          </w:tcPr>
          <w:p>
            <w:pPr>
              <w:adjustRightInd w:val="0"/>
              <w:snapToGrid w:val="0"/>
              <w:spacing w:line="300" w:lineRule="auto"/>
              <w:ind w:left="46" w:leftChars="22" w:firstLine="2"/>
              <w:rPr>
                <w:rFonts w:ascii="宋体" w:hAnsi="宋体" w:eastAsia="宋体" w:cs="Times New Roman"/>
                <w:bCs/>
                <w:color w:val="auto"/>
                <w:szCs w:val="21"/>
              </w:rPr>
            </w:pPr>
            <w:r>
              <w:rPr>
                <w:rFonts w:hint="eastAsia" w:ascii="宋体" w:hAnsi="宋体" w:eastAsia="宋体" w:cs="Times New Roman"/>
                <w:bCs/>
                <w:color w:val="auto"/>
                <w:szCs w:val="21"/>
              </w:rPr>
              <w:t>国家及城市相关政策对住宅、产业/办公的影响；</w:t>
            </w:r>
          </w:p>
          <w:p>
            <w:pPr>
              <w:adjustRightInd w:val="0"/>
              <w:snapToGrid w:val="0"/>
              <w:spacing w:line="300" w:lineRule="auto"/>
              <w:ind w:left="46" w:leftChars="22" w:firstLine="2"/>
              <w:rPr>
                <w:rFonts w:hint="eastAsia" w:ascii="宋体" w:hAnsi="宋体" w:eastAsia="宋体" w:cs="Times New Roman"/>
                <w:bCs/>
                <w:color w:val="auto"/>
                <w:szCs w:val="21"/>
              </w:rPr>
            </w:pPr>
            <w:r>
              <w:rPr>
                <w:rFonts w:hint="eastAsia" w:ascii="宋体" w:hAnsi="宋体" w:eastAsia="宋体" w:cs="Times New Roman"/>
                <w:bCs/>
                <w:color w:val="auto"/>
                <w:szCs w:val="21"/>
              </w:rPr>
              <w:t>国家及城市对入园企业的相关优惠政策、规定。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ind w:left="718" w:leftChars="77" w:hanging="556" w:hangingChars="265"/>
              <w:jc w:val="center"/>
              <w:rPr>
                <w:rFonts w:ascii="宋体" w:hAnsi="宋体" w:eastAsia="宋体" w:cs="Times New Roman"/>
                <w:bCs/>
                <w:color w:val="auto"/>
                <w:szCs w:val="21"/>
              </w:rPr>
            </w:pPr>
            <w:r>
              <w:rPr>
                <w:rFonts w:hint="eastAsia" w:ascii="宋体" w:hAnsi="宋体" w:eastAsia="宋体" w:cs="Times New Roman"/>
                <w:bCs/>
                <w:color w:val="auto"/>
                <w:szCs w:val="21"/>
              </w:rPr>
              <w:t>产业</w:t>
            </w:r>
            <w:r>
              <w:rPr>
                <w:rFonts w:ascii="宋体" w:hAnsi="宋体" w:eastAsia="宋体" w:cs="Times New Roman"/>
                <w:bCs/>
                <w:color w:val="auto"/>
                <w:szCs w:val="21"/>
              </w:rPr>
              <w:t>用房</w:t>
            </w:r>
          </w:p>
          <w:p>
            <w:pPr>
              <w:adjustRightInd w:val="0"/>
              <w:snapToGrid w:val="0"/>
              <w:spacing w:line="300" w:lineRule="auto"/>
              <w:ind w:left="718" w:leftChars="77" w:hanging="556" w:hangingChars="265"/>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/住宅供需</w:t>
            </w:r>
            <w:r>
              <w:rPr>
                <w:rFonts w:ascii="宋体" w:hAnsi="宋体" w:eastAsia="宋体" w:cs="Times New Roman"/>
                <w:bCs/>
                <w:color w:val="auto"/>
                <w:szCs w:val="21"/>
              </w:rPr>
              <w:t>分析</w:t>
            </w:r>
          </w:p>
        </w:tc>
        <w:tc>
          <w:tcPr>
            <w:tcW w:w="6797" w:type="dxa"/>
            <w:shd w:val="clear" w:color="auto" w:fill="auto"/>
            <w:vAlign w:val="center"/>
          </w:tcPr>
          <w:p>
            <w:pPr>
              <w:adjustRightInd w:val="0"/>
              <w:snapToGrid w:val="0"/>
              <w:spacing w:line="300" w:lineRule="auto"/>
              <w:ind w:left="46" w:leftChars="22" w:firstLine="2"/>
              <w:rPr>
                <w:rFonts w:hint="eastAsia" w:ascii="宋体" w:hAnsi="宋体" w:eastAsia="宋体" w:cs="Times New Roman"/>
                <w:bCs/>
                <w:color w:val="auto"/>
                <w:szCs w:val="21"/>
              </w:rPr>
            </w:pPr>
            <w:r>
              <w:rPr>
                <w:rFonts w:hint="eastAsia" w:ascii="宋体" w:hAnsi="宋体" w:eastAsia="宋体" w:cs="Times New Roman"/>
                <w:bCs/>
                <w:color w:val="auto"/>
                <w:szCs w:val="21"/>
              </w:rPr>
              <w:t>城市住宅商品房、产业/办公供需结构分析及未来形势预测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ind w:left="718" w:leftChars="77" w:hanging="556" w:hangingChars="265"/>
              <w:jc w:val="center"/>
              <w:rPr>
                <w:rFonts w:ascii="宋体" w:hAnsi="宋体" w:eastAsia="宋体" w:cs="Times New Roman"/>
                <w:bCs/>
                <w:color w:val="auto"/>
                <w:szCs w:val="21"/>
              </w:rPr>
            </w:pPr>
            <w:r>
              <w:rPr>
                <w:rFonts w:hint="eastAsia" w:ascii="宋体" w:hAnsi="宋体" w:eastAsia="宋体" w:cs="Times New Roman"/>
                <w:bCs/>
                <w:color w:val="auto"/>
                <w:szCs w:val="21"/>
              </w:rPr>
              <w:t>其他宏观环境</w:t>
            </w:r>
          </w:p>
        </w:tc>
        <w:tc>
          <w:tcPr>
            <w:tcW w:w="6797" w:type="dxa"/>
            <w:shd w:val="clear" w:color="auto" w:fill="auto"/>
            <w:vAlign w:val="center"/>
          </w:tcPr>
          <w:p>
            <w:pPr>
              <w:adjustRightInd w:val="0"/>
              <w:snapToGrid w:val="0"/>
              <w:spacing w:line="300" w:lineRule="auto"/>
              <w:ind w:left="46" w:leftChars="22" w:firstLine="2"/>
              <w:rPr>
                <w:rFonts w:ascii="宋体" w:hAnsi="宋体" w:eastAsia="宋体" w:cs="Times New Roman"/>
                <w:bCs/>
                <w:color w:val="auto"/>
                <w:szCs w:val="21"/>
              </w:rPr>
            </w:pPr>
            <w:r>
              <w:rPr>
                <w:rFonts w:hint="eastAsia" w:ascii="宋体" w:hAnsi="宋体" w:eastAsia="宋体" w:cs="Times New Roman"/>
                <w:bCs/>
                <w:color w:val="auto"/>
                <w:szCs w:val="21"/>
              </w:rPr>
              <w:t xml:space="preserve">包括城市的规划环境、法律法规环境、城市的自然资源生态等。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restart"/>
            <w:shd w:val="clear" w:color="auto" w:fill="auto"/>
            <w:vAlign w:val="center"/>
          </w:tcPr>
          <w:p>
            <w:pPr>
              <w:adjustRightInd w:val="0"/>
              <w:snapToGrid w:val="0"/>
              <w:spacing w:line="300" w:lineRule="auto"/>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区域与</w:t>
            </w:r>
            <w:r>
              <w:rPr>
                <w:rFonts w:ascii="宋体" w:hAnsi="宋体" w:eastAsia="宋体" w:cs="Times New Roman"/>
                <w:bCs/>
                <w:color w:val="auto"/>
                <w:szCs w:val="21"/>
              </w:rPr>
              <w:t>竞争对手</w:t>
            </w:r>
            <w:r>
              <w:rPr>
                <w:rFonts w:hint="eastAsia" w:ascii="宋体" w:hAnsi="宋体" w:eastAsia="宋体" w:cs="Times New Roman"/>
                <w:bCs/>
                <w:color w:val="auto"/>
                <w:szCs w:val="21"/>
              </w:rPr>
              <w:t>调研</w:t>
            </w:r>
          </w:p>
        </w:tc>
        <w:tc>
          <w:tcPr>
            <w:tcW w:w="1900" w:type="dxa"/>
            <w:shd w:val="clear" w:color="auto" w:fill="auto"/>
            <w:vAlign w:val="center"/>
          </w:tcPr>
          <w:p>
            <w:pPr>
              <w:adjustRightInd w:val="0"/>
              <w:snapToGrid w:val="0"/>
              <w:spacing w:line="300" w:lineRule="auto"/>
              <w:ind w:left="718" w:leftChars="77" w:hanging="556" w:hangingChars="265"/>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区域</w:t>
            </w:r>
            <w:r>
              <w:rPr>
                <w:rFonts w:ascii="宋体" w:hAnsi="宋体" w:eastAsia="宋体" w:cs="Times New Roman"/>
                <w:bCs/>
                <w:color w:val="auto"/>
                <w:szCs w:val="21"/>
              </w:rPr>
              <w:t>环境</w:t>
            </w:r>
          </w:p>
        </w:tc>
        <w:tc>
          <w:tcPr>
            <w:tcW w:w="6797" w:type="dxa"/>
            <w:shd w:val="clear" w:color="auto" w:fill="auto"/>
            <w:vAlign w:val="center"/>
          </w:tcPr>
          <w:p>
            <w:pPr>
              <w:numPr>
                <w:ilvl w:val="0"/>
                <w:numId w:val="19"/>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项目</w:t>
            </w:r>
            <w:r>
              <w:rPr>
                <w:rFonts w:ascii="宋体" w:hAnsi="宋体" w:eastAsia="宋体" w:cs="Times New Roman"/>
                <w:bCs/>
                <w:color w:val="auto"/>
                <w:szCs w:val="21"/>
              </w:rPr>
              <w:t>四至</w:t>
            </w:r>
          </w:p>
          <w:p>
            <w:pPr>
              <w:numPr>
                <w:ilvl w:val="0"/>
                <w:numId w:val="19"/>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交通状况</w:t>
            </w:r>
          </w:p>
          <w:p>
            <w:pPr>
              <w:numPr>
                <w:ilvl w:val="0"/>
                <w:numId w:val="19"/>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配套设施</w:t>
            </w:r>
          </w:p>
          <w:p>
            <w:pPr>
              <w:numPr>
                <w:ilvl w:val="0"/>
                <w:numId w:val="19"/>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产业环境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ind w:left="718" w:leftChars="77" w:hanging="556" w:hangingChars="265"/>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区域</w:t>
            </w:r>
            <w:r>
              <w:rPr>
                <w:rFonts w:ascii="宋体" w:hAnsi="宋体" w:eastAsia="宋体" w:cs="Times New Roman"/>
                <w:bCs/>
                <w:color w:val="auto"/>
                <w:szCs w:val="21"/>
              </w:rPr>
              <w:t>竞争格局</w:t>
            </w:r>
          </w:p>
        </w:tc>
        <w:tc>
          <w:tcPr>
            <w:tcW w:w="6797" w:type="dxa"/>
            <w:shd w:val="clear" w:color="auto" w:fill="auto"/>
            <w:vAlign w:val="center"/>
          </w:tcPr>
          <w:p>
            <w:pPr>
              <w:adjustRightInd w:val="0"/>
              <w:snapToGrid w:val="0"/>
              <w:spacing w:line="300" w:lineRule="auto"/>
              <w:ind w:left="46" w:leftChars="22" w:firstLine="2"/>
              <w:rPr>
                <w:rFonts w:ascii="宋体" w:hAnsi="宋体" w:eastAsia="宋体" w:cs="Times New Roman"/>
                <w:bCs/>
                <w:color w:val="auto"/>
                <w:szCs w:val="21"/>
              </w:rPr>
            </w:pPr>
            <w:r>
              <w:rPr>
                <w:rFonts w:hint="eastAsia" w:ascii="宋体" w:hAnsi="宋体" w:eastAsia="宋体" w:cs="Times New Roman"/>
                <w:bCs/>
                <w:color w:val="auto"/>
                <w:szCs w:val="21"/>
              </w:rPr>
              <w:t>根据项目</w:t>
            </w:r>
            <w:r>
              <w:rPr>
                <w:rFonts w:ascii="宋体" w:hAnsi="宋体" w:eastAsia="宋体" w:cs="Times New Roman"/>
                <w:bCs/>
                <w:color w:val="auto"/>
                <w:szCs w:val="21"/>
              </w:rPr>
              <w:t>产品业态（</w:t>
            </w:r>
            <w:r>
              <w:rPr>
                <w:rFonts w:hint="eastAsia" w:ascii="宋体" w:hAnsi="宋体" w:eastAsia="宋体" w:cs="Times New Roman"/>
                <w:bCs/>
                <w:color w:val="auto"/>
                <w:szCs w:val="21"/>
              </w:rPr>
              <w:t>公寓</w:t>
            </w:r>
            <w:r>
              <w:rPr>
                <w:rFonts w:ascii="宋体" w:hAnsi="宋体" w:eastAsia="宋体" w:cs="Times New Roman"/>
                <w:bCs/>
                <w:color w:val="auto"/>
                <w:szCs w:val="21"/>
              </w:rPr>
              <w:t>、产业用房、住宅、商业等）</w:t>
            </w:r>
            <w:r>
              <w:rPr>
                <w:rFonts w:hint="eastAsia" w:ascii="宋体" w:hAnsi="宋体" w:eastAsia="宋体" w:cs="Times New Roman"/>
                <w:bCs/>
                <w:color w:val="auto"/>
                <w:szCs w:val="21"/>
              </w:rPr>
              <w:t>选择</w:t>
            </w:r>
            <w:r>
              <w:rPr>
                <w:rFonts w:ascii="宋体" w:hAnsi="宋体" w:eastAsia="宋体" w:cs="Times New Roman"/>
                <w:bCs/>
                <w:color w:val="auto"/>
                <w:szCs w:val="21"/>
              </w:rPr>
              <w:t>3</w:t>
            </w:r>
            <w:r>
              <w:rPr>
                <w:rFonts w:hint="eastAsia" w:ascii="宋体" w:hAnsi="宋体" w:eastAsia="宋体" w:cs="Times New Roman"/>
                <w:bCs/>
                <w:color w:val="auto"/>
                <w:szCs w:val="21"/>
              </w:rPr>
              <w:t>个竞争项目</w:t>
            </w:r>
            <w:r>
              <w:rPr>
                <w:rFonts w:ascii="宋体" w:hAnsi="宋体" w:eastAsia="宋体" w:cs="Times New Roman"/>
                <w:bCs/>
                <w:color w:val="auto"/>
                <w:szCs w:val="21"/>
              </w:rPr>
              <w:t>以上进行研究</w:t>
            </w:r>
            <w:r>
              <w:rPr>
                <w:rFonts w:hint="eastAsia" w:ascii="宋体" w:hAnsi="宋体" w:eastAsia="宋体" w:cs="Times New Roman"/>
                <w:bCs/>
                <w:color w:val="auto"/>
                <w:szCs w:val="21"/>
              </w:rPr>
              <w:t>，核心</w:t>
            </w:r>
            <w:r>
              <w:rPr>
                <w:rFonts w:ascii="宋体" w:hAnsi="宋体" w:eastAsia="宋体" w:cs="Times New Roman"/>
                <w:bCs/>
                <w:color w:val="auto"/>
                <w:szCs w:val="21"/>
              </w:rPr>
              <w:t>对比：</w:t>
            </w:r>
          </w:p>
          <w:p>
            <w:pPr>
              <w:numPr>
                <w:ilvl w:val="0"/>
                <w:numId w:val="20"/>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w:t>
            </w:r>
            <w:r>
              <w:rPr>
                <w:rFonts w:ascii="宋体" w:hAnsi="宋体" w:eastAsia="宋体" w:cs="Times New Roman"/>
                <w:bCs/>
                <w:color w:val="auto"/>
                <w:szCs w:val="21"/>
              </w:rPr>
              <w:t>概况：占地面积、</w:t>
            </w:r>
            <w:r>
              <w:rPr>
                <w:rFonts w:hint="eastAsia" w:ascii="宋体" w:hAnsi="宋体" w:eastAsia="宋体" w:cs="Times New Roman"/>
                <w:bCs/>
                <w:color w:val="auto"/>
                <w:szCs w:val="21"/>
              </w:rPr>
              <w:t>建筑</w:t>
            </w:r>
            <w:r>
              <w:rPr>
                <w:rFonts w:ascii="宋体" w:hAnsi="宋体" w:eastAsia="宋体" w:cs="Times New Roman"/>
                <w:bCs/>
                <w:color w:val="auto"/>
                <w:szCs w:val="21"/>
              </w:rPr>
              <w:t>面积、物业类型、</w:t>
            </w:r>
            <w:r>
              <w:rPr>
                <w:rFonts w:hint="eastAsia" w:ascii="宋体" w:hAnsi="宋体" w:eastAsia="宋体" w:cs="Times New Roman"/>
                <w:bCs/>
                <w:color w:val="auto"/>
                <w:szCs w:val="21"/>
              </w:rPr>
              <w:t>面积</w:t>
            </w:r>
            <w:r>
              <w:rPr>
                <w:rFonts w:ascii="宋体" w:hAnsi="宋体" w:eastAsia="宋体" w:cs="Times New Roman"/>
                <w:bCs/>
                <w:color w:val="auto"/>
                <w:szCs w:val="21"/>
              </w:rPr>
              <w:t>区间等</w:t>
            </w:r>
          </w:p>
          <w:p>
            <w:pPr>
              <w:numPr>
                <w:ilvl w:val="0"/>
                <w:numId w:val="20"/>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房屋</w:t>
            </w:r>
            <w:r>
              <w:rPr>
                <w:rFonts w:ascii="宋体" w:hAnsi="宋体" w:eastAsia="宋体" w:cs="Times New Roman"/>
                <w:bCs/>
                <w:color w:val="auto"/>
                <w:szCs w:val="21"/>
              </w:rPr>
              <w:t>用途</w:t>
            </w:r>
          </w:p>
          <w:p>
            <w:pPr>
              <w:numPr>
                <w:ilvl w:val="0"/>
                <w:numId w:val="20"/>
              </w:numPr>
              <w:adjustRightInd w:val="0"/>
              <w:snapToGrid w:val="0"/>
              <w:spacing w:line="300" w:lineRule="auto"/>
              <w:rPr>
                <w:rFonts w:ascii="宋体" w:hAnsi="宋体" w:eastAsia="宋体" w:cs="Times New Roman"/>
                <w:bCs/>
                <w:color w:val="auto"/>
                <w:szCs w:val="21"/>
              </w:rPr>
            </w:pPr>
            <w:r>
              <w:rPr>
                <w:rFonts w:ascii="宋体" w:hAnsi="宋体" w:eastAsia="宋体" w:cs="Times New Roman"/>
                <w:bCs/>
                <w:color w:val="auto"/>
                <w:szCs w:val="21"/>
              </w:rPr>
              <w:t>户型</w:t>
            </w:r>
            <w:r>
              <w:rPr>
                <w:rFonts w:hint="eastAsia" w:ascii="宋体" w:hAnsi="宋体" w:eastAsia="宋体" w:cs="Times New Roman"/>
                <w:bCs/>
                <w:color w:val="auto"/>
                <w:szCs w:val="21"/>
              </w:rPr>
              <w:t>参数</w:t>
            </w:r>
          </w:p>
          <w:p>
            <w:pPr>
              <w:numPr>
                <w:ilvl w:val="0"/>
                <w:numId w:val="20"/>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销售</w:t>
            </w:r>
            <w:r>
              <w:rPr>
                <w:rFonts w:ascii="宋体" w:hAnsi="宋体" w:eastAsia="宋体" w:cs="Times New Roman"/>
                <w:bCs/>
                <w:color w:val="auto"/>
                <w:szCs w:val="21"/>
              </w:rPr>
              <w:t>情况：在售、已售套数</w:t>
            </w:r>
            <w:r>
              <w:rPr>
                <w:rFonts w:hint="eastAsia" w:ascii="宋体" w:hAnsi="宋体" w:eastAsia="宋体" w:cs="Times New Roman"/>
                <w:bCs/>
                <w:color w:val="auto"/>
                <w:szCs w:val="21"/>
              </w:rPr>
              <w:t>或</w:t>
            </w:r>
            <w:r>
              <w:rPr>
                <w:rFonts w:ascii="宋体" w:hAnsi="宋体" w:eastAsia="宋体" w:cs="Times New Roman"/>
                <w:bCs/>
                <w:color w:val="auto"/>
                <w:szCs w:val="21"/>
              </w:rPr>
              <w:t>面积</w:t>
            </w:r>
            <w:r>
              <w:rPr>
                <w:rFonts w:hint="eastAsia" w:ascii="宋体" w:hAnsi="宋体" w:eastAsia="宋体" w:cs="Times New Roman"/>
                <w:bCs/>
                <w:color w:val="auto"/>
                <w:szCs w:val="21"/>
              </w:rPr>
              <w:t>，已推/存量货源供需结构分析</w:t>
            </w:r>
          </w:p>
          <w:p>
            <w:pPr>
              <w:numPr>
                <w:ilvl w:val="0"/>
                <w:numId w:val="20"/>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价格</w:t>
            </w:r>
            <w:r>
              <w:rPr>
                <w:rFonts w:ascii="宋体" w:hAnsi="宋体" w:eastAsia="宋体" w:cs="Times New Roman"/>
                <w:bCs/>
                <w:color w:val="auto"/>
                <w:szCs w:val="21"/>
              </w:rPr>
              <w:t>：均价、最低价、最高价</w:t>
            </w:r>
            <w:r>
              <w:rPr>
                <w:rFonts w:hint="eastAsia" w:ascii="宋体" w:hAnsi="宋体" w:eastAsia="宋体" w:cs="Times New Roman"/>
                <w:bCs/>
                <w:color w:val="auto"/>
                <w:szCs w:val="21"/>
              </w:rPr>
              <w:t>，</w:t>
            </w:r>
            <w:r>
              <w:rPr>
                <w:rFonts w:ascii="宋体" w:hAnsi="宋体" w:eastAsia="宋体" w:cs="Times New Roman"/>
                <w:bCs/>
                <w:color w:val="auto"/>
                <w:szCs w:val="21"/>
              </w:rPr>
              <w:t>当前价格走势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restart"/>
            <w:shd w:val="clear" w:color="auto" w:fill="auto"/>
            <w:vAlign w:val="center"/>
          </w:tcPr>
          <w:p>
            <w:pPr>
              <w:adjustRightInd w:val="0"/>
              <w:snapToGrid w:val="0"/>
              <w:spacing w:line="300" w:lineRule="auto"/>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项目目标</w:t>
            </w:r>
            <w:r>
              <w:rPr>
                <w:rFonts w:ascii="宋体" w:hAnsi="宋体" w:eastAsia="宋体" w:cs="Times New Roman"/>
                <w:bCs/>
                <w:color w:val="auto"/>
                <w:szCs w:val="21"/>
              </w:rPr>
              <w:t>客户群体分析</w:t>
            </w:r>
          </w:p>
        </w:tc>
        <w:tc>
          <w:tcPr>
            <w:tcW w:w="1900" w:type="dxa"/>
            <w:shd w:val="clear" w:color="auto" w:fill="auto"/>
            <w:vAlign w:val="center"/>
          </w:tcPr>
          <w:p>
            <w:pPr>
              <w:adjustRightInd w:val="0"/>
              <w:snapToGrid w:val="0"/>
              <w:spacing w:line="300" w:lineRule="auto"/>
              <w:ind w:left="718" w:leftChars="77" w:hanging="556" w:hangingChars="265"/>
              <w:jc w:val="center"/>
              <w:rPr>
                <w:rFonts w:hint="eastAsia" w:ascii="宋体" w:hAnsi="宋体" w:eastAsia="宋体" w:cs="Times New Roman"/>
                <w:bCs/>
                <w:color w:val="auto"/>
                <w:szCs w:val="21"/>
              </w:rPr>
            </w:pPr>
            <w:r>
              <w:rPr>
                <w:rFonts w:hint="eastAsia" w:ascii="宋体" w:hAnsi="宋体" w:eastAsia="宋体" w:cs="Times New Roman"/>
                <w:bCs/>
                <w:color w:val="auto"/>
                <w:szCs w:val="21"/>
              </w:rPr>
              <w:t>目标客户群定位</w:t>
            </w:r>
          </w:p>
        </w:tc>
        <w:tc>
          <w:tcPr>
            <w:tcW w:w="6797" w:type="dxa"/>
            <w:shd w:val="clear" w:color="auto" w:fill="auto"/>
            <w:vAlign w:val="center"/>
          </w:tcPr>
          <w:p>
            <w:pPr>
              <w:numPr>
                <w:ilvl w:val="0"/>
                <w:numId w:val="21"/>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潜在客户群细分及</w:t>
            </w:r>
            <w:r>
              <w:rPr>
                <w:rFonts w:ascii="宋体" w:hAnsi="宋体" w:eastAsia="宋体" w:cs="Times New Roman"/>
                <w:bCs/>
                <w:color w:val="auto"/>
                <w:szCs w:val="21"/>
              </w:rPr>
              <w:t>特征分析</w:t>
            </w:r>
          </w:p>
          <w:p>
            <w:pPr>
              <w:numPr>
                <w:ilvl w:val="0"/>
                <w:numId w:val="21"/>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目标客群群体特征分析</w:t>
            </w:r>
          </w:p>
          <w:p>
            <w:pPr>
              <w:numPr>
                <w:ilvl w:val="0"/>
                <w:numId w:val="22"/>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行业属性（（风口行业，如芯片、人工智能等））</w:t>
            </w:r>
          </w:p>
          <w:p>
            <w:pPr>
              <w:numPr>
                <w:ilvl w:val="0"/>
                <w:numId w:val="22"/>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企业资质（国高、省高、市高）</w:t>
            </w:r>
          </w:p>
          <w:p>
            <w:pPr>
              <w:numPr>
                <w:ilvl w:val="0"/>
                <w:numId w:val="22"/>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行业影响力（带动上下游）</w:t>
            </w:r>
          </w:p>
          <w:p>
            <w:pPr>
              <w:numPr>
                <w:ilvl w:val="0"/>
                <w:numId w:val="22"/>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人才团队（千人、孔雀等）</w:t>
            </w:r>
          </w:p>
          <w:p>
            <w:pPr>
              <w:numPr>
                <w:ilvl w:val="0"/>
                <w:numId w:val="22"/>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研发能力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ind w:left="31" w:leftChars="15"/>
              <w:rPr>
                <w:rFonts w:hint="eastAsia" w:ascii="宋体" w:hAnsi="宋体" w:eastAsia="宋体" w:cs="Times New Roman"/>
                <w:bCs/>
                <w:color w:val="auto"/>
                <w:szCs w:val="21"/>
              </w:rPr>
            </w:pPr>
            <w:r>
              <w:rPr>
                <w:rFonts w:hint="eastAsia" w:ascii="宋体" w:hAnsi="宋体" w:eastAsia="宋体" w:cs="Times New Roman"/>
                <w:color w:val="auto"/>
                <w:szCs w:val="21"/>
              </w:rPr>
              <w:t>目标客户群需求特征</w:t>
            </w:r>
          </w:p>
        </w:tc>
        <w:tc>
          <w:tcPr>
            <w:tcW w:w="6797" w:type="dxa"/>
            <w:shd w:val="clear" w:color="auto" w:fill="auto"/>
            <w:vAlign w:val="center"/>
          </w:tcPr>
          <w:p>
            <w:pPr>
              <w:numPr>
                <w:ilvl w:val="0"/>
                <w:numId w:val="23"/>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项目周边交通条件</w:t>
            </w:r>
          </w:p>
          <w:p>
            <w:pPr>
              <w:numPr>
                <w:ilvl w:val="0"/>
                <w:numId w:val="23"/>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项目的优惠政策</w:t>
            </w:r>
          </w:p>
          <w:p>
            <w:pPr>
              <w:numPr>
                <w:ilvl w:val="0"/>
                <w:numId w:val="23"/>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项目的产业服务（技术、资本、人才、政策等）</w:t>
            </w:r>
          </w:p>
          <w:p>
            <w:pPr>
              <w:numPr>
                <w:ilvl w:val="0"/>
                <w:numId w:val="23"/>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项目的物业条件（层高、承重、机电等）</w:t>
            </w:r>
          </w:p>
          <w:p>
            <w:pPr>
              <w:numPr>
                <w:ilvl w:val="0"/>
                <w:numId w:val="23"/>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项目的上下游产业链配套</w:t>
            </w:r>
          </w:p>
          <w:p>
            <w:pPr>
              <w:numPr>
                <w:ilvl w:val="0"/>
                <w:numId w:val="23"/>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项目的租售价格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restart"/>
            <w:shd w:val="clear" w:color="auto" w:fill="auto"/>
            <w:vAlign w:val="center"/>
          </w:tcPr>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城市及区域商业环境分析</w:t>
            </w:r>
          </w:p>
        </w:tc>
        <w:tc>
          <w:tcPr>
            <w:tcW w:w="1900" w:type="dxa"/>
            <w:shd w:val="clear" w:color="auto" w:fill="auto"/>
            <w:vAlign w:val="center"/>
          </w:tcPr>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地段交通环境</w:t>
            </w:r>
          </w:p>
        </w:tc>
        <w:tc>
          <w:tcPr>
            <w:tcW w:w="6797" w:type="dxa"/>
            <w:shd w:val="clear" w:color="auto" w:fill="auto"/>
            <w:vAlign w:val="center"/>
          </w:tcPr>
          <w:p>
            <w:pPr>
              <w:numPr>
                <w:ilvl w:val="0"/>
                <w:numId w:val="24"/>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地段交通道路的性质</w:t>
            </w:r>
            <w:r>
              <w:rPr>
                <w:rFonts w:ascii="宋体" w:hAnsi="宋体" w:eastAsia="宋体" w:cs="Times New Roman"/>
                <w:bCs/>
                <w:color w:val="auto"/>
                <w:szCs w:val="21"/>
              </w:rPr>
              <w:t xml:space="preserve"> </w:t>
            </w:r>
          </w:p>
          <w:p>
            <w:pPr>
              <w:numPr>
                <w:ilvl w:val="0"/>
                <w:numId w:val="24"/>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地段交通辐射的区域及主要交通线</w:t>
            </w:r>
          </w:p>
          <w:p>
            <w:pPr>
              <w:numPr>
                <w:ilvl w:val="0"/>
                <w:numId w:val="24"/>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地段居民主要出行方式</w:t>
            </w:r>
          </w:p>
          <w:p>
            <w:pPr>
              <w:numPr>
                <w:ilvl w:val="0"/>
                <w:numId w:val="24"/>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地段交通车流状况</w:t>
            </w:r>
            <w:r>
              <w:rPr>
                <w:rFonts w:ascii="宋体" w:hAnsi="宋体" w:eastAsia="宋体" w:cs="Times New Roman"/>
                <w:bCs/>
                <w:color w:val="auto"/>
                <w:szCs w:val="21"/>
              </w:rPr>
              <w:t xml:space="preserve"> </w:t>
            </w:r>
          </w:p>
          <w:p>
            <w:pPr>
              <w:numPr>
                <w:ilvl w:val="0"/>
                <w:numId w:val="24"/>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项目地块交通条件状况等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jc w:val="center"/>
              <w:rPr>
                <w:rFonts w:ascii="宋体" w:hAnsi="宋体" w:eastAsia="宋体" w:cs="Times New Roman"/>
                <w:bCs/>
                <w:color w:val="auto"/>
                <w:szCs w:val="21"/>
              </w:rPr>
            </w:pPr>
            <w:r>
              <w:rPr>
                <w:rFonts w:hint="eastAsia" w:ascii="宋体" w:hAnsi="宋体" w:eastAsia="宋体" w:cs="Times New Roman"/>
                <w:bCs/>
                <w:color w:val="auto"/>
                <w:szCs w:val="21"/>
              </w:rPr>
              <w:t>地段商业环境</w:t>
            </w:r>
          </w:p>
        </w:tc>
        <w:tc>
          <w:tcPr>
            <w:tcW w:w="6797" w:type="dxa"/>
            <w:shd w:val="clear" w:color="auto" w:fill="auto"/>
            <w:vAlign w:val="center"/>
          </w:tcPr>
          <w:p>
            <w:pPr>
              <w:numPr>
                <w:ilvl w:val="0"/>
                <w:numId w:val="25"/>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地段环境中商业区的类型。</w:t>
            </w:r>
          </w:p>
          <w:p>
            <w:pPr>
              <w:numPr>
                <w:ilvl w:val="0"/>
                <w:numId w:val="25"/>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地段环境中商业区的经营规模、销售规模。</w:t>
            </w:r>
          </w:p>
          <w:p>
            <w:pPr>
              <w:numPr>
                <w:ilvl w:val="0"/>
                <w:numId w:val="25"/>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地段环境中商业区商业构成及业态组合情况。</w:t>
            </w:r>
          </w:p>
          <w:p>
            <w:pPr>
              <w:numPr>
                <w:ilvl w:val="0"/>
                <w:numId w:val="25"/>
              </w:num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bCs/>
                <w:color w:val="auto"/>
                <w:szCs w:val="21"/>
              </w:rPr>
              <w:t>地段环境中商业区的规划布局及租金水平等。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Merge w:val="continue"/>
            <w:shd w:val="clear" w:color="auto" w:fill="auto"/>
            <w:vAlign w:val="center"/>
          </w:tcPr>
          <w:p>
            <w:pPr>
              <w:adjustRightInd w:val="0"/>
              <w:snapToGrid w:val="0"/>
              <w:spacing w:line="300" w:lineRule="auto"/>
              <w:jc w:val="center"/>
              <w:rPr>
                <w:rFonts w:ascii="宋体" w:hAnsi="宋体" w:eastAsia="宋体" w:cs="Times New Roman"/>
                <w:bCs/>
                <w:color w:val="auto"/>
                <w:szCs w:val="21"/>
              </w:rPr>
            </w:pPr>
          </w:p>
        </w:tc>
        <w:tc>
          <w:tcPr>
            <w:tcW w:w="1900" w:type="dxa"/>
            <w:shd w:val="clear" w:color="auto" w:fill="auto"/>
            <w:vAlign w:val="center"/>
          </w:tcPr>
          <w:p>
            <w:pPr>
              <w:adjustRightInd w:val="0"/>
              <w:snapToGrid w:val="0"/>
              <w:spacing w:line="300" w:lineRule="auto"/>
              <w:rPr>
                <w:rFonts w:ascii="宋体" w:hAnsi="宋体" w:eastAsia="宋体" w:cs="Times New Roman"/>
                <w:bCs/>
                <w:color w:val="auto"/>
                <w:szCs w:val="21"/>
              </w:rPr>
            </w:pPr>
            <w:r>
              <w:rPr>
                <w:rFonts w:hint="eastAsia" w:ascii="宋体" w:hAnsi="宋体" w:eastAsia="宋体" w:cs="Times New Roman"/>
                <w:color w:val="auto"/>
                <w:szCs w:val="21"/>
              </w:rPr>
              <w:t>竞争性商业物业经营状况（至少3个竞争项目）</w:t>
            </w:r>
          </w:p>
        </w:tc>
        <w:tc>
          <w:tcPr>
            <w:tcW w:w="6797" w:type="dxa"/>
            <w:shd w:val="clear" w:color="auto" w:fill="auto"/>
            <w:vAlign w:val="center"/>
          </w:tcPr>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核心竞争性商业物业概况</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物业名称</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物业位置（附区位图）</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经济指标</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业态分析</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主要商家</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销售价格</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租金水平</w:t>
            </w:r>
          </w:p>
          <w:p>
            <w:pPr>
              <w:numPr>
                <w:ilvl w:val="0"/>
                <w:numId w:val="26"/>
              </w:numPr>
              <w:adjustRightInd w:val="0"/>
              <w:snapToGrid w:val="0"/>
              <w:spacing w:line="30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客户群体特征</w:t>
            </w:r>
          </w:p>
        </w:tc>
      </w:tr>
    </w:tbl>
    <w:p>
      <w:pPr>
        <w:tabs>
          <w:tab w:val="left" w:pos="709"/>
        </w:tabs>
        <w:spacing w:line="360" w:lineRule="auto"/>
        <w:rPr>
          <w:rFonts w:hint="eastAsia" w:ascii="宋体" w:hAnsi="宋体" w:eastAsia="宋体" w:cs="Times New Roman"/>
          <w:bCs/>
          <w:color w:val="auto"/>
          <w:szCs w:val="21"/>
        </w:rPr>
      </w:pPr>
    </w:p>
    <w:p>
      <w:pPr>
        <w:tabs>
          <w:tab w:val="left" w:pos="709"/>
        </w:tabs>
        <w:spacing w:line="360" w:lineRule="auto"/>
        <w:rPr>
          <w:rFonts w:hint="eastAsia" w:ascii="宋体" w:hAnsi="宋体" w:eastAsia="宋体" w:cs="Times New Roman"/>
          <w:bCs/>
          <w:color w:val="auto"/>
          <w:szCs w:val="21"/>
        </w:rPr>
      </w:pPr>
    </w:p>
    <w:p>
      <w:pPr>
        <w:adjustRightInd w:val="0"/>
        <w:snapToGrid w:val="0"/>
        <w:spacing w:line="360" w:lineRule="auto"/>
        <w:ind w:right="72"/>
        <w:rPr>
          <w:rFonts w:hint="eastAsia" w:ascii="Times New Roman" w:hAnsi="宋体" w:eastAsia="宋体" w:cs="Times New Roman"/>
          <w:color w:val="auto"/>
          <w:szCs w:val="21"/>
        </w:rPr>
      </w:pPr>
      <w:r>
        <w:rPr>
          <w:rFonts w:hint="eastAsia" w:ascii="Times New Roman" w:hAnsi="宋体" w:eastAsia="宋体" w:cs="Times New Roman"/>
          <w:color w:val="auto"/>
          <w:szCs w:val="21"/>
        </w:rPr>
        <w:t>5、市场调研完成后，总裁办公室负责（委托调研时由调研公司负责）将调研源数据及所有过程文件进行整理，形成《市场调研报告》。</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6、成立投资风控委员会，根据针对项目出具的《法律意见书》和《市场调研报告》投票表决项目是否投资，形成最终决策。</w:t>
      </w:r>
    </w:p>
    <w:p>
      <w:pPr>
        <w:adjustRightInd w:val="0"/>
        <w:snapToGrid w:val="0"/>
        <w:spacing w:line="360" w:lineRule="auto"/>
        <w:ind w:right="72"/>
        <w:rPr>
          <w:rFonts w:hint="eastAsia" w:ascii="Times New Roman" w:hAnsi="宋体" w:eastAsia="宋体" w:cs="Times New Roman"/>
          <w:color w:val="auto"/>
          <w:szCs w:val="21"/>
        </w:rPr>
      </w:pPr>
      <w:r>
        <w:rPr>
          <w:rFonts w:hint="eastAsia" w:ascii="Times New Roman" w:hAnsi="宋体" w:eastAsia="宋体" w:cs="Times New Roman"/>
          <w:color w:val="auto"/>
          <w:szCs w:val="21"/>
        </w:rPr>
        <w:t>7、《市场调研报告》及时归档，如果对项目最终投票结果为投资，此文件将由总裁办公室转发给项目负责人应用于为项目定位、项目招商、项目推广策划等提供决策依据和借鉴参考。</w:t>
      </w:r>
    </w:p>
    <w:p>
      <w:pPr>
        <w:tabs>
          <w:tab w:val="left" w:pos="709"/>
        </w:tabs>
        <w:spacing w:line="360" w:lineRule="auto"/>
        <w:rPr>
          <w:rFonts w:hint="eastAsia" w:ascii="宋体" w:hAnsi="宋体" w:eastAsia="宋体" w:cs="Times New Roman"/>
          <w:b/>
          <w:bCs/>
          <w:color w:val="auto"/>
          <w:sz w:val="30"/>
          <w:szCs w:val="30"/>
        </w:rPr>
      </w:pPr>
      <w:r>
        <w:rPr>
          <w:rFonts w:hint="eastAsia" w:ascii="宋体" w:hAnsi="宋体" w:eastAsia="宋体" w:cs="Times New Roman"/>
          <w:b/>
          <w:bCs/>
          <w:color w:val="auto"/>
          <w:sz w:val="30"/>
          <w:szCs w:val="30"/>
        </w:rPr>
        <w:t>四、开发计划管理</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目    的</w:t>
      </w:r>
    </w:p>
    <w:p>
      <w:pPr>
        <w:tabs>
          <w:tab w:val="left" w:pos="709"/>
        </w:tabs>
        <w:spacing w:line="360" w:lineRule="auto"/>
        <w:rPr>
          <w:rFonts w:ascii="宋体" w:hAnsi="宋体" w:eastAsia="宋体" w:cs="Times New Roman"/>
          <w:bCs/>
          <w:color w:val="auto"/>
          <w:szCs w:val="21"/>
        </w:rPr>
      </w:pPr>
      <w:r>
        <w:rPr>
          <w:rFonts w:hint="eastAsia" w:ascii="宋体" w:hAnsi="宋体" w:eastAsia="宋体" w:cs="Times New Roman"/>
          <w:bCs/>
          <w:color w:val="auto"/>
          <w:szCs w:val="21"/>
        </w:rPr>
        <w:t>为贯彻落实公司经营目标及方针，支撑公司战略发展管理要求，通过对项目开发周期全专业计划进行统筹和监控，确保公司项目开发计划科学合理、衔接紧凑、进度可控，实现在满足产品质量要求和投资控制目标的前提下提升项目开发节奏的目的，特制定本管理规定。</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适用范围</w:t>
      </w:r>
    </w:p>
    <w:p>
      <w:pPr>
        <w:tabs>
          <w:tab w:val="left" w:pos="709"/>
        </w:tabs>
        <w:spacing w:line="360" w:lineRule="auto"/>
        <w:rPr>
          <w:rFonts w:ascii="宋体" w:hAnsi="宋体" w:eastAsia="宋体" w:cs="Times New Roman"/>
          <w:bCs/>
          <w:color w:val="auto"/>
          <w:szCs w:val="21"/>
        </w:rPr>
      </w:pPr>
      <w:r>
        <w:rPr>
          <w:rFonts w:hint="eastAsia" w:ascii="宋体" w:hAnsi="宋体" w:eastAsia="宋体" w:cs="Times New Roman"/>
          <w:bCs/>
          <w:color w:val="auto"/>
          <w:szCs w:val="21"/>
        </w:rPr>
        <w:t>适用于投资管理部门、工程管理部门，项目计划管理工作。</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w:t>
      </w:r>
      <w:r>
        <w:rPr>
          <w:rFonts w:hint="eastAsia" w:ascii="宋体" w:hAnsi="宋体" w:eastAsia="宋体" w:cs="Times New Roman"/>
          <w:bCs/>
          <w:color w:val="auto"/>
          <w:szCs w:val="21"/>
        </w:rPr>
        <w:tab/>
      </w:r>
      <w:r>
        <w:rPr>
          <w:rFonts w:hint="eastAsia" w:ascii="宋体" w:hAnsi="宋体" w:eastAsia="宋体" w:cs="Times New Roman"/>
          <w:bCs/>
          <w:color w:val="auto"/>
          <w:szCs w:val="21"/>
        </w:rPr>
        <w:t>术语定义</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项目开发计划以实现公司发展目标为原则分为关键节点计划、主项计划及专项计划。计划编制深度应根据项目当地报建政策、设计规范、工程规范等因素达到一定的深度（编制节点可根据实际情况增减）。</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3.1</w:t>
      </w:r>
      <w:r>
        <w:rPr>
          <w:rFonts w:hint="eastAsia" w:ascii="宋体" w:hAnsi="宋体" w:eastAsia="宋体" w:cs="Times New Roman"/>
          <w:bCs/>
          <w:color w:val="auto"/>
          <w:szCs w:val="21"/>
        </w:rPr>
        <w:tab/>
      </w:r>
      <w:r>
        <w:rPr>
          <w:rFonts w:hint="eastAsia" w:ascii="宋体" w:hAnsi="宋体" w:eastAsia="宋体" w:cs="Times New Roman"/>
          <w:bCs/>
          <w:color w:val="auto"/>
          <w:szCs w:val="21"/>
        </w:rPr>
        <w:t>关键节点计划：</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关键节点计划是根据公司管理层重点关注、项目开发经营要素而编制的工作计划。主要功能为支撑公司经营目标达成、保证整体开发进度的可控性；是项目开发中与项目经营目标紧密相关的节点。</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3.2</w:t>
      </w:r>
      <w:r>
        <w:rPr>
          <w:rFonts w:hint="eastAsia" w:ascii="宋体" w:hAnsi="宋体" w:eastAsia="宋体" w:cs="Times New Roman"/>
          <w:bCs/>
          <w:color w:val="auto"/>
          <w:szCs w:val="21"/>
        </w:rPr>
        <w:tab/>
      </w:r>
      <w:r>
        <w:rPr>
          <w:rFonts w:hint="eastAsia" w:ascii="宋体" w:hAnsi="宋体" w:eastAsia="宋体" w:cs="Times New Roman"/>
          <w:bCs/>
          <w:color w:val="auto"/>
          <w:szCs w:val="21"/>
        </w:rPr>
        <w:t>主项计划：</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为实现项目关键节点计划而编制的全专业关键工作计划。主要功能是为保障项目关键节点计划的完成, 覆盖各业务版块的重要工作项、各部门相关工作之间的衔接关系和完成时间要求。</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3.3</w:t>
      </w:r>
      <w:r>
        <w:rPr>
          <w:rFonts w:hint="eastAsia" w:ascii="宋体" w:hAnsi="宋体" w:eastAsia="宋体" w:cs="Times New Roman"/>
          <w:bCs/>
          <w:color w:val="auto"/>
          <w:szCs w:val="21"/>
        </w:rPr>
        <w:tab/>
      </w:r>
      <w:r>
        <w:rPr>
          <w:rFonts w:hint="eastAsia" w:ascii="宋体" w:hAnsi="宋体" w:eastAsia="宋体" w:cs="Times New Roman"/>
          <w:bCs/>
          <w:color w:val="auto"/>
          <w:szCs w:val="21"/>
        </w:rPr>
        <w:t>专项计划：</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为实现主项计划而制定的各专业工作计划，包括但不限于工程报建计划、设计管理计划、招采管理计划、招商运营计划等，各项目根据运营需求制定展示区及样板房等专项计划；专项计划的编制必须以主项计划为依据，计划编制不得突破项目主项计划。</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3.4</w:t>
      </w:r>
      <w:r>
        <w:rPr>
          <w:rFonts w:hint="eastAsia" w:ascii="宋体" w:hAnsi="宋体" w:eastAsia="宋体" w:cs="Times New Roman"/>
          <w:bCs/>
          <w:color w:val="auto"/>
          <w:szCs w:val="21"/>
        </w:rPr>
        <w:tab/>
      </w:r>
      <w:r>
        <w:rPr>
          <w:rFonts w:hint="eastAsia" w:ascii="宋体" w:hAnsi="宋体" w:eastAsia="宋体" w:cs="Times New Roman"/>
          <w:bCs/>
          <w:color w:val="auto"/>
          <w:szCs w:val="21"/>
        </w:rPr>
        <w:t>部门月度计划：</w:t>
      </w:r>
    </w:p>
    <w:p>
      <w:pPr>
        <w:tabs>
          <w:tab w:val="left" w:pos="709"/>
        </w:tabs>
        <w:spacing w:line="360" w:lineRule="auto"/>
        <w:rPr>
          <w:rFonts w:ascii="宋体" w:hAnsi="宋体" w:eastAsia="宋体" w:cs="Times New Roman"/>
          <w:bCs/>
          <w:color w:val="auto"/>
          <w:szCs w:val="21"/>
        </w:rPr>
      </w:pPr>
      <w:r>
        <w:rPr>
          <w:rFonts w:hint="eastAsia" w:ascii="宋体" w:hAnsi="宋体" w:eastAsia="宋体" w:cs="Times New Roman"/>
          <w:bCs/>
          <w:color w:val="auto"/>
          <w:szCs w:val="21"/>
        </w:rPr>
        <w:t>基于部门角度以月为时间划分，将项目各级计划及日常工作项分解到部门的计划，便于各业务部门安排部门工作、指导项目工作推进；为项目各级计划汇报的唯一口径。</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w:t>
      </w:r>
      <w:r>
        <w:rPr>
          <w:rFonts w:hint="eastAsia" w:ascii="宋体" w:hAnsi="宋体" w:eastAsia="宋体" w:cs="Times New Roman"/>
          <w:bCs/>
          <w:color w:val="auto"/>
          <w:szCs w:val="21"/>
        </w:rPr>
        <w:tab/>
      </w:r>
      <w:r>
        <w:rPr>
          <w:rFonts w:hint="eastAsia" w:ascii="宋体" w:hAnsi="宋体" w:eastAsia="宋体" w:cs="Times New Roman"/>
          <w:bCs/>
          <w:color w:val="auto"/>
          <w:szCs w:val="21"/>
        </w:rPr>
        <w:t>职    责</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4.1</w:t>
      </w:r>
      <w:r>
        <w:rPr>
          <w:rFonts w:hint="eastAsia" w:ascii="宋体" w:hAnsi="宋体" w:eastAsia="宋体" w:cs="Times New Roman"/>
          <w:bCs/>
          <w:color w:val="auto"/>
          <w:szCs w:val="21"/>
        </w:rPr>
        <w:tab/>
      </w:r>
      <w:r>
        <w:rPr>
          <w:rFonts w:hint="eastAsia" w:ascii="宋体" w:hAnsi="宋体" w:eastAsia="宋体" w:cs="Times New Roman"/>
          <w:bCs/>
          <w:color w:val="auto"/>
          <w:szCs w:val="21"/>
        </w:rPr>
        <w:t>总裁办公室</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各项目开发计划的归口管理部门，全方位管理各项目开发计划工作，建立和维护公司项目开发计划体系。</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负责协调各项目关键节点计划的编制、报审、调整申请，组织各部门编制项目主项计划，同时负责专项计划、月度计划的审核工作；</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w:t>
      </w:r>
      <w:r>
        <w:rPr>
          <w:rFonts w:hint="eastAsia" w:ascii="宋体" w:hAnsi="宋体" w:eastAsia="宋体" w:cs="Times New Roman"/>
          <w:bCs/>
          <w:color w:val="auto"/>
          <w:szCs w:val="21"/>
        </w:rPr>
        <w:tab/>
      </w:r>
      <w:r>
        <w:rPr>
          <w:rFonts w:hint="eastAsia" w:ascii="宋体" w:hAnsi="宋体" w:eastAsia="宋体" w:cs="Times New Roman"/>
          <w:bCs/>
          <w:color w:val="auto"/>
          <w:szCs w:val="21"/>
        </w:rPr>
        <w:t>协助对项目主项计划的调整申请进行审核，判断计划调整申请是否影响关键节点计划；</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w:t>
      </w:r>
      <w:r>
        <w:rPr>
          <w:rFonts w:hint="eastAsia" w:ascii="宋体" w:hAnsi="宋体" w:eastAsia="宋体" w:cs="Times New Roman"/>
          <w:bCs/>
          <w:color w:val="auto"/>
          <w:szCs w:val="21"/>
        </w:rPr>
        <w:tab/>
      </w:r>
      <w:r>
        <w:rPr>
          <w:rFonts w:hint="eastAsia" w:ascii="宋体" w:hAnsi="宋体" w:eastAsia="宋体" w:cs="Times New Roman"/>
          <w:bCs/>
          <w:color w:val="auto"/>
          <w:szCs w:val="21"/>
        </w:rPr>
        <w:t>协助对项目开发计划执行过程进行监控预警，对各项目开发计划成果进行阶段性汇报、考核。</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4.2</w:t>
      </w:r>
      <w:r>
        <w:rPr>
          <w:rFonts w:hint="eastAsia" w:ascii="宋体" w:hAnsi="宋体" w:eastAsia="宋体" w:cs="Times New Roman"/>
          <w:bCs/>
          <w:color w:val="auto"/>
          <w:szCs w:val="21"/>
        </w:rPr>
        <w:tab/>
      </w:r>
      <w:r>
        <w:rPr>
          <w:rFonts w:hint="eastAsia" w:ascii="宋体" w:hAnsi="宋体" w:eastAsia="宋体" w:cs="Times New Roman"/>
          <w:bCs/>
          <w:color w:val="auto"/>
          <w:szCs w:val="21"/>
        </w:rPr>
        <w:t>各部门/项目</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1)</w:t>
      </w:r>
      <w:r>
        <w:rPr>
          <w:rFonts w:hint="eastAsia" w:ascii="宋体" w:hAnsi="宋体" w:eastAsia="宋体" w:cs="Times New Roman"/>
          <w:bCs/>
          <w:color w:val="auto"/>
          <w:szCs w:val="21"/>
        </w:rPr>
        <w:tab/>
      </w:r>
      <w:r>
        <w:rPr>
          <w:rFonts w:hint="eastAsia" w:ascii="宋体" w:hAnsi="宋体" w:eastAsia="宋体" w:cs="Times New Roman"/>
          <w:bCs/>
          <w:color w:val="auto"/>
          <w:szCs w:val="21"/>
        </w:rPr>
        <w:t>参与制定公司项目主项计划；负责编制、初审职能范围内专项计划和部门月度计划；</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2)</w:t>
      </w:r>
      <w:r>
        <w:rPr>
          <w:rFonts w:hint="eastAsia" w:ascii="宋体" w:hAnsi="宋体" w:eastAsia="宋体" w:cs="Times New Roman"/>
          <w:bCs/>
          <w:color w:val="auto"/>
          <w:szCs w:val="21"/>
        </w:rPr>
        <w:tab/>
      </w:r>
      <w:r>
        <w:rPr>
          <w:rFonts w:hint="eastAsia" w:ascii="宋体" w:hAnsi="宋体" w:eastAsia="宋体" w:cs="Times New Roman"/>
          <w:bCs/>
          <w:color w:val="auto"/>
          <w:szCs w:val="21"/>
        </w:rPr>
        <w:t>负责对各项工作的完成情况、输出成果进行整理汇报。过程中配合支持关联部门工作，了解关联部门交叉、搭接工作进度、交付成果需求；</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3)</w:t>
      </w:r>
      <w:r>
        <w:rPr>
          <w:rFonts w:hint="eastAsia" w:ascii="宋体" w:hAnsi="宋体" w:eastAsia="宋体" w:cs="Times New Roman"/>
          <w:bCs/>
          <w:color w:val="auto"/>
          <w:szCs w:val="21"/>
        </w:rPr>
        <w:tab/>
      </w:r>
      <w:r>
        <w:rPr>
          <w:rFonts w:hint="eastAsia" w:ascii="宋体" w:hAnsi="宋体" w:eastAsia="宋体" w:cs="Times New Roman"/>
          <w:bCs/>
          <w:color w:val="auto"/>
          <w:szCs w:val="21"/>
        </w:rPr>
        <w:t>对计划执行过程中可能产生的提前或滞后等情况，主动进行反馈。</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5.</w:t>
      </w:r>
      <w:r>
        <w:rPr>
          <w:rFonts w:hint="eastAsia" w:ascii="宋体" w:hAnsi="宋体" w:eastAsia="宋体" w:cs="Times New Roman"/>
          <w:bCs/>
          <w:color w:val="auto"/>
          <w:szCs w:val="21"/>
        </w:rPr>
        <w:tab/>
      </w:r>
      <w:r>
        <w:rPr>
          <w:rFonts w:hint="eastAsia" w:ascii="宋体" w:hAnsi="宋体" w:eastAsia="宋体" w:cs="Times New Roman"/>
          <w:bCs/>
          <w:color w:val="auto"/>
          <w:szCs w:val="21"/>
        </w:rPr>
        <w:t>关键活动描述</w:t>
      </w: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5.1</w:t>
      </w:r>
      <w:r>
        <w:rPr>
          <w:rFonts w:hint="eastAsia" w:ascii="宋体" w:hAnsi="宋体" w:eastAsia="宋体" w:cs="Times New Roman"/>
          <w:bCs/>
          <w:color w:val="auto"/>
          <w:szCs w:val="21"/>
        </w:rPr>
        <w:tab/>
      </w:r>
      <w:r>
        <w:rPr>
          <w:rFonts w:hint="eastAsia" w:ascii="宋体" w:hAnsi="宋体" w:eastAsia="宋体" w:cs="Times New Roman"/>
          <w:bCs/>
          <w:color w:val="auto"/>
          <w:szCs w:val="21"/>
        </w:rPr>
        <w:t>计划编制、调整及执行跟踪</w:t>
      </w:r>
    </w:p>
    <w:tbl>
      <w:tblPr>
        <w:tblStyle w:val="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7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trPr>
        <w:tc>
          <w:tcPr>
            <w:tcW w:w="1561" w:type="dxa"/>
            <w:vAlign w:val="center"/>
          </w:tcPr>
          <w:p>
            <w:pPr>
              <w:snapToGrid w:val="0"/>
              <w:contextualSpacing/>
              <w:jc w:val="center"/>
              <w:rPr>
                <w:rFonts w:ascii="宋体" w:hAnsi="宋体" w:eastAsia="宋体" w:cs="Times New Roman"/>
                <w:b/>
                <w:bCs/>
                <w:color w:val="auto"/>
                <w:szCs w:val="24"/>
              </w:rPr>
            </w:pPr>
            <w:r>
              <w:rPr>
                <w:rFonts w:hint="eastAsia" w:ascii="宋体" w:hAnsi="宋体" w:eastAsia="宋体" w:cs="Times New Roman"/>
                <w:b/>
                <w:bCs/>
                <w:color w:val="auto"/>
                <w:szCs w:val="24"/>
              </w:rPr>
              <w:t>流程步骤</w:t>
            </w:r>
          </w:p>
        </w:tc>
        <w:tc>
          <w:tcPr>
            <w:tcW w:w="7795" w:type="dxa"/>
            <w:vAlign w:val="center"/>
          </w:tcPr>
          <w:p>
            <w:pPr>
              <w:snapToGrid w:val="0"/>
              <w:contextualSpacing/>
              <w:jc w:val="center"/>
              <w:rPr>
                <w:rFonts w:ascii="宋体" w:hAnsi="宋体" w:eastAsia="宋体" w:cs="Times New Roman"/>
                <w:b/>
                <w:bCs/>
                <w:color w:val="auto"/>
                <w:szCs w:val="24"/>
              </w:rPr>
            </w:pPr>
            <w:r>
              <w:rPr>
                <w:rFonts w:hint="eastAsia" w:ascii="宋体" w:hAnsi="宋体" w:eastAsia="宋体" w:cs="Times New Roman"/>
                <w:b/>
                <w:bCs/>
                <w:color w:val="auto"/>
                <w:szCs w:val="24"/>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vAlign w:val="center"/>
          </w:tcPr>
          <w:p>
            <w:pPr>
              <w:snapToGrid w:val="0"/>
              <w:spacing w:line="360" w:lineRule="auto"/>
              <w:contextualSpacing/>
              <w:jc w:val="center"/>
              <w:rPr>
                <w:rFonts w:ascii="宋体" w:hAnsi="宋体" w:eastAsia="宋体" w:cs="Times New Roman"/>
                <w:b/>
                <w:bCs/>
                <w:color w:val="auto"/>
                <w:szCs w:val="24"/>
              </w:rPr>
            </w:pPr>
            <w:r>
              <w:rPr>
                <w:rFonts w:hint="eastAsia" w:ascii="宋体" w:hAnsi="宋体" w:eastAsia="宋体" w:cs="Times New Roman"/>
                <w:b/>
                <w:bCs/>
                <w:color w:val="auto"/>
                <w:szCs w:val="24"/>
              </w:rPr>
              <w:t>计划编制</w:t>
            </w:r>
          </w:p>
        </w:tc>
        <w:tc>
          <w:tcPr>
            <w:tcW w:w="7795" w:type="dxa"/>
          </w:tcPr>
          <w:p>
            <w:pPr>
              <w:widowControl/>
              <w:numPr>
                <w:ilvl w:val="0"/>
                <w:numId w:val="27"/>
              </w:numPr>
              <w:spacing w:line="360" w:lineRule="auto"/>
              <w:jc w:val="left"/>
              <w:outlineLvl w:val="0"/>
              <w:rPr>
                <w:rFonts w:hint="eastAsia"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关键节点计划的编制</w:t>
            </w:r>
          </w:p>
          <w:p>
            <w:pPr>
              <w:numPr>
                <w:ilvl w:val="0"/>
                <w:numId w:val="28"/>
              </w:numPr>
              <w:spacing w:line="360" w:lineRule="auto"/>
              <w:rPr>
                <w:rFonts w:ascii="宋体" w:hAnsi="宋体" w:eastAsia="宋体" w:cs="Times New Roman"/>
                <w:color w:val="auto"/>
                <w:szCs w:val="21"/>
              </w:rPr>
            </w:pPr>
            <w:r>
              <w:rPr>
                <w:rFonts w:hint="eastAsia" w:ascii="宋体" w:hAnsi="宋体" w:eastAsia="宋体" w:cs="Times New Roman"/>
                <w:color w:val="auto"/>
                <w:szCs w:val="21"/>
              </w:rPr>
              <w:t>编制依据：根据公司发展战略要求、年度经营目标、总经理重点关注计划工作项，合理编制关键节点计划。</w:t>
            </w:r>
          </w:p>
          <w:p>
            <w:pPr>
              <w:numPr>
                <w:ilvl w:val="0"/>
                <w:numId w:val="28"/>
              </w:numPr>
              <w:spacing w:line="360" w:lineRule="auto"/>
              <w:rPr>
                <w:rFonts w:ascii="宋体" w:hAnsi="宋体" w:eastAsia="宋体" w:cs="Times New Roman"/>
                <w:color w:val="auto"/>
                <w:szCs w:val="21"/>
              </w:rPr>
            </w:pPr>
            <w:r>
              <w:rPr>
                <w:rFonts w:hint="eastAsia" w:ascii="宋体" w:hAnsi="宋体" w:eastAsia="宋体" w:cs="Times New Roman"/>
                <w:color w:val="auto"/>
                <w:szCs w:val="21"/>
              </w:rPr>
              <w:t>编制流程：土地获取后15日内，总裁办协助总经理依据《项目可行性研究分析报告》、项目前期论证资料及公司提出的项目开发目标，组织编制项目关键节点计划并上报公司总经理审批；报审的项目关键节点计划经公司总经理审批通过后，由总裁办发布关键节点计划，并组织相关部门编制主项计划工作。</w:t>
            </w:r>
          </w:p>
          <w:p>
            <w:pPr>
              <w:widowControl/>
              <w:numPr>
                <w:ilvl w:val="0"/>
                <w:numId w:val="27"/>
              </w:numPr>
              <w:spacing w:line="360" w:lineRule="auto"/>
              <w:jc w:val="left"/>
              <w:outlineLvl w:val="0"/>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项目主项计划的编制</w:t>
            </w:r>
          </w:p>
          <w:p>
            <w:pPr>
              <w:numPr>
                <w:ilvl w:val="0"/>
                <w:numId w:val="29"/>
              </w:numPr>
              <w:spacing w:line="360" w:lineRule="auto"/>
              <w:rPr>
                <w:rFonts w:hint="eastAsia" w:ascii="宋体" w:hAnsi="宋体" w:eastAsia="宋体" w:cs="Times New Roman"/>
                <w:color w:val="auto"/>
                <w:szCs w:val="24"/>
              </w:rPr>
            </w:pPr>
            <w:bookmarkStart w:id="4" w:name="_Toc262397023"/>
            <w:r>
              <w:rPr>
                <w:rFonts w:hint="eastAsia" w:ascii="宋体" w:hAnsi="宋体" w:eastAsia="宋体" w:cs="Times New Roman"/>
                <w:color w:val="auto"/>
                <w:szCs w:val="24"/>
              </w:rPr>
              <w:t>编制依据：</w:t>
            </w:r>
            <w:r>
              <w:rPr>
                <w:rFonts w:hint="eastAsia" w:ascii="宋体" w:hAnsi="宋体" w:eastAsia="宋体" w:cs="Times New Roman"/>
                <w:color w:val="auto"/>
                <w:szCs w:val="21"/>
              </w:rPr>
              <w:t>根据关键节点计划、公司发展战略要求、年度经营目标、各专项业务实际需求及标准工期</w:t>
            </w:r>
            <w:r>
              <w:rPr>
                <w:rFonts w:hint="eastAsia" w:ascii="宋体" w:hAnsi="宋体" w:eastAsia="宋体" w:cs="Times New Roman"/>
                <w:color w:val="auto"/>
                <w:szCs w:val="24"/>
              </w:rPr>
              <w:t>要求</w:t>
            </w:r>
            <w:r>
              <w:rPr>
                <w:rFonts w:hint="eastAsia" w:ascii="宋体" w:hAnsi="宋体" w:eastAsia="宋体" w:cs="Times New Roman"/>
                <w:color w:val="auto"/>
                <w:szCs w:val="21"/>
              </w:rPr>
              <w:t>，合理编制主项计划。</w:t>
            </w:r>
          </w:p>
          <w:p>
            <w:pPr>
              <w:numPr>
                <w:ilvl w:val="0"/>
                <w:numId w:val="29"/>
              </w:numPr>
              <w:spacing w:line="360" w:lineRule="auto"/>
              <w:rPr>
                <w:rFonts w:hint="eastAsia" w:ascii="宋体" w:hAnsi="宋体" w:eastAsia="宋体" w:cs="Times New Roman"/>
                <w:color w:val="auto"/>
                <w:szCs w:val="24"/>
              </w:rPr>
            </w:pPr>
            <w:r>
              <w:rPr>
                <w:rFonts w:hint="eastAsia" w:ascii="宋体" w:hAnsi="宋体" w:eastAsia="宋体" w:cs="Times New Roman"/>
                <w:color w:val="auto"/>
                <w:szCs w:val="24"/>
              </w:rPr>
              <w:t>编制流程：</w:t>
            </w:r>
          </w:p>
          <w:p>
            <w:pPr>
              <w:numPr>
                <w:ilvl w:val="1"/>
                <w:numId w:val="29"/>
              </w:numPr>
              <w:tabs>
                <w:tab w:val="left" w:pos="0"/>
              </w:tabs>
              <w:spacing w:line="360" w:lineRule="auto"/>
              <w:rPr>
                <w:rFonts w:ascii="宋体" w:hAnsi="宋体" w:eastAsia="宋体" w:cs="Times New Roman"/>
                <w:color w:val="auto"/>
                <w:szCs w:val="21"/>
              </w:rPr>
            </w:pPr>
            <w:r>
              <w:rPr>
                <w:rFonts w:hint="eastAsia" w:ascii="宋体" w:hAnsi="宋体" w:eastAsia="宋体" w:cs="Times New Roman"/>
                <w:color w:val="auto"/>
                <w:szCs w:val="21"/>
              </w:rPr>
              <w:t>主项计划的编制：项目关键节点计划审批确定</w:t>
            </w:r>
            <w:r>
              <w:rPr>
                <w:rFonts w:ascii="宋体" w:hAnsi="宋体" w:eastAsia="宋体" w:cs="Times New Roman"/>
                <w:color w:val="auto"/>
                <w:szCs w:val="21"/>
              </w:rPr>
              <w:t>10个</w:t>
            </w:r>
            <w:r>
              <w:rPr>
                <w:rFonts w:hint="eastAsia" w:ascii="宋体" w:hAnsi="宋体" w:eastAsia="宋体" w:cs="Times New Roman"/>
                <w:color w:val="auto"/>
                <w:szCs w:val="21"/>
              </w:rPr>
              <w:t>工作日内，总经办牵头组织各部门编制项目主项计划。根据各部门专业意见，结合确定各工作项的完成时间及责任人，并设置各项计划的前置关系，结合项目关键节点，形成项目主项计划。</w:t>
            </w:r>
          </w:p>
          <w:p>
            <w:pPr>
              <w:numPr>
                <w:ilvl w:val="1"/>
                <w:numId w:val="29"/>
              </w:numPr>
              <w:tabs>
                <w:tab w:val="left" w:pos="0"/>
              </w:tabs>
              <w:spacing w:line="360" w:lineRule="auto"/>
              <w:rPr>
                <w:rFonts w:ascii="宋体" w:hAnsi="宋体" w:eastAsia="宋体" w:cs="Times New Roman"/>
                <w:color w:val="auto"/>
                <w:szCs w:val="21"/>
              </w:rPr>
            </w:pPr>
            <w:r>
              <w:rPr>
                <w:rFonts w:hint="eastAsia" w:ascii="宋体" w:hAnsi="宋体" w:eastAsia="宋体" w:cs="Times New Roman"/>
                <w:color w:val="auto"/>
                <w:szCs w:val="21"/>
              </w:rPr>
              <w:t>主项计划审批与发布：项目主项计划制定后，总经办发起项目主项计划审批工作，各相关部门核对，经公司总经理审批通过后签发，由总经办正式发布。</w:t>
            </w:r>
          </w:p>
          <w:p>
            <w:pPr>
              <w:widowControl/>
              <w:numPr>
                <w:ilvl w:val="0"/>
                <w:numId w:val="27"/>
              </w:numPr>
              <w:spacing w:line="360" w:lineRule="auto"/>
              <w:jc w:val="left"/>
              <w:outlineLvl w:val="0"/>
              <w:rPr>
                <w:rFonts w:ascii="Times New Roman" w:hAnsi="Times New Roman" w:eastAsia="宋体" w:cs="Times New Roman"/>
                <w:b/>
                <w:bCs/>
                <w:color w:val="auto"/>
                <w:szCs w:val="24"/>
              </w:rPr>
            </w:pPr>
            <w:bookmarkStart w:id="5" w:name="_Toc510961434"/>
            <w:r>
              <w:rPr>
                <w:rFonts w:hint="eastAsia" w:ascii="Times New Roman" w:hAnsi="Times New Roman" w:eastAsia="宋体" w:cs="Times New Roman"/>
                <w:b/>
                <w:bCs/>
                <w:color w:val="auto"/>
                <w:szCs w:val="24"/>
              </w:rPr>
              <w:t>项目专项计划的编制</w:t>
            </w:r>
            <w:bookmarkEnd w:id="5"/>
          </w:p>
          <w:p>
            <w:pPr>
              <w:numPr>
                <w:ilvl w:val="0"/>
                <w:numId w:val="30"/>
              </w:numPr>
              <w:spacing w:line="360" w:lineRule="auto"/>
              <w:rPr>
                <w:rFonts w:ascii="宋体" w:hAnsi="宋体" w:eastAsia="宋体" w:cs="Times New Roman"/>
                <w:color w:val="auto"/>
                <w:szCs w:val="21"/>
              </w:rPr>
            </w:pPr>
            <w:r>
              <w:rPr>
                <w:rFonts w:hint="eastAsia" w:ascii="宋体" w:hAnsi="宋体" w:eastAsia="宋体" w:cs="Times New Roman"/>
                <w:color w:val="auto"/>
                <w:szCs w:val="21"/>
              </w:rPr>
              <w:t>编制</w:t>
            </w:r>
            <w:r>
              <w:rPr>
                <w:rFonts w:hint="eastAsia" w:ascii="宋体" w:hAnsi="宋体" w:eastAsia="宋体" w:cs="Times New Roman"/>
                <w:color w:val="auto"/>
                <w:szCs w:val="24"/>
              </w:rPr>
              <w:t>依据</w:t>
            </w:r>
            <w:r>
              <w:rPr>
                <w:rFonts w:hint="eastAsia" w:ascii="宋体" w:hAnsi="宋体" w:eastAsia="宋体" w:cs="Times New Roman"/>
                <w:color w:val="auto"/>
                <w:szCs w:val="21"/>
              </w:rPr>
              <w:t>：根据关键节点计划、项目主项计划、与其它专项计划的衔接关系进行编制。专项计划须体现项目关键节点计划及项目主项计划节点的分解，工作项名称保持一致。</w:t>
            </w:r>
          </w:p>
          <w:p>
            <w:pPr>
              <w:numPr>
                <w:ilvl w:val="0"/>
                <w:numId w:val="30"/>
              </w:numPr>
              <w:spacing w:line="360" w:lineRule="auto"/>
              <w:rPr>
                <w:rFonts w:ascii="宋体" w:hAnsi="宋体" w:eastAsia="宋体" w:cs="Times New Roman"/>
                <w:color w:val="auto"/>
                <w:szCs w:val="21"/>
              </w:rPr>
            </w:pPr>
            <w:r>
              <w:rPr>
                <w:rFonts w:hint="eastAsia" w:ascii="宋体" w:hAnsi="宋体" w:eastAsia="宋体" w:cs="Times New Roman"/>
                <w:color w:val="auto"/>
                <w:szCs w:val="24"/>
              </w:rPr>
              <w:t>编制</w:t>
            </w:r>
            <w:r>
              <w:rPr>
                <w:rFonts w:hint="eastAsia" w:ascii="宋体" w:hAnsi="宋体" w:eastAsia="宋体" w:cs="Times New Roman"/>
                <w:color w:val="auto"/>
                <w:szCs w:val="21"/>
              </w:rPr>
              <w:t>流程</w:t>
            </w:r>
          </w:p>
          <w:p>
            <w:pPr>
              <w:tabs>
                <w:tab w:val="left" w:pos="0"/>
              </w:tabs>
              <w:spacing w:line="360" w:lineRule="auto"/>
              <w:ind w:left="1206"/>
              <w:rPr>
                <w:rFonts w:ascii="宋体" w:hAnsi="宋体" w:eastAsia="宋体" w:cs="Times New Roman"/>
                <w:color w:val="auto"/>
                <w:szCs w:val="21"/>
              </w:rPr>
            </w:pPr>
            <w:r>
              <w:rPr>
                <w:rFonts w:hint="eastAsia" w:ascii="宋体" w:hAnsi="宋体" w:eastAsia="宋体" w:cs="Times New Roman"/>
                <w:color w:val="auto"/>
                <w:szCs w:val="21"/>
              </w:rPr>
              <w:t>项目主项计划发布15日内，公司各部门根据项目开展阶段实际开发需求编制项目专项计划；各部门负责人、总裁办对项目专项计划进行审核并会签；</w:t>
            </w:r>
          </w:p>
          <w:p>
            <w:pPr>
              <w:widowControl/>
              <w:numPr>
                <w:ilvl w:val="0"/>
                <w:numId w:val="27"/>
              </w:numPr>
              <w:spacing w:line="360" w:lineRule="auto"/>
              <w:jc w:val="left"/>
              <w:outlineLvl w:val="0"/>
              <w:rPr>
                <w:rFonts w:ascii="Times New Roman" w:hAnsi="Times New Roman" w:eastAsia="宋体" w:cs="Times New Roman"/>
                <w:b/>
                <w:bCs/>
                <w:color w:val="auto"/>
                <w:szCs w:val="24"/>
              </w:rPr>
            </w:pPr>
            <w:bookmarkStart w:id="6" w:name="_Toc510961435"/>
            <w:r>
              <w:rPr>
                <w:rFonts w:hint="eastAsia" w:ascii="Times New Roman" w:hAnsi="Times New Roman" w:eastAsia="宋体" w:cs="Times New Roman"/>
                <w:b/>
                <w:bCs/>
                <w:color w:val="auto"/>
                <w:szCs w:val="24"/>
              </w:rPr>
              <w:t>月度计划的编制</w:t>
            </w:r>
            <w:bookmarkEnd w:id="6"/>
          </w:p>
          <w:p>
            <w:pPr>
              <w:numPr>
                <w:ilvl w:val="0"/>
                <w:numId w:val="31"/>
              </w:numPr>
              <w:spacing w:line="360" w:lineRule="auto"/>
              <w:rPr>
                <w:rFonts w:ascii="宋体" w:hAnsi="宋体" w:eastAsia="宋体" w:cs="Times New Roman"/>
                <w:color w:val="auto"/>
                <w:szCs w:val="21"/>
              </w:rPr>
            </w:pPr>
            <w:r>
              <w:rPr>
                <w:rFonts w:hint="eastAsia" w:ascii="宋体" w:hAnsi="宋体" w:eastAsia="宋体" w:cs="Times New Roman"/>
                <w:color w:val="auto"/>
                <w:szCs w:val="21"/>
              </w:rPr>
              <w:t>编制依据：根据本部门负责的项目各级别计划工作项、公司会议决议需完成的工作及日常重点工作项进行编制。</w:t>
            </w:r>
          </w:p>
          <w:p>
            <w:pPr>
              <w:numPr>
                <w:ilvl w:val="0"/>
                <w:numId w:val="31"/>
              </w:numPr>
              <w:spacing w:line="360" w:lineRule="auto"/>
              <w:rPr>
                <w:rFonts w:hint="eastAsia" w:ascii="宋体" w:hAnsi="宋体" w:eastAsia="宋体" w:cs="Times New Roman"/>
                <w:color w:val="auto"/>
                <w:szCs w:val="21"/>
              </w:rPr>
            </w:pPr>
            <w:r>
              <w:rPr>
                <w:rFonts w:hint="eastAsia" w:ascii="宋体" w:hAnsi="宋体" w:eastAsia="宋体" w:cs="Times New Roman"/>
                <w:color w:val="auto"/>
                <w:szCs w:val="21"/>
              </w:rPr>
              <w:t>编制流程 ：各部门在项目主项计划、项目专项计划的基础上，以月度为单位，于每月25日开始编制本部门的下月度事务性工作；部门月度计划需包含自然月内主项、专项计划节点，同时可纳入部门间协办工作及其他项工作。每月2</w:t>
            </w:r>
            <w:r>
              <w:rPr>
                <w:rFonts w:ascii="宋体" w:hAnsi="宋体" w:eastAsia="宋体" w:cs="Times New Roman"/>
                <w:color w:val="auto"/>
                <w:szCs w:val="21"/>
              </w:rPr>
              <w:t>8</w:t>
            </w:r>
            <w:r>
              <w:rPr>
                <w:rFonts w:hint="eastAsia" w:ascii="宋体" w:hAnsi="宋体" w:eastAsia="宋体" w:cs="Times New Roman"/>
                <w:color w:val="auto"/>
                <w:szCs w:val="21"/>
              </w:rPr>
              <w:t>日前各部门提交月部门工作计划，由总裁办备案，作为月度工作跟进及考核项依据。</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vAlign w:val="center"/>
          </w:tcPr>
          <w:p>
            <w:pPr>
              <w:snapToGrid w:val="0"/>
              <w:spacing w:line="360" w:lineRule="auto"/>
              <w:contextualSpacing/>
              <w:jc w:val="center"/>
              <w:rPr>
                <w:rFonts w:hint="eastAsia" w:ascii="宋体" w:hAnsi="宋体" w:eastAsia="宋体" w:cs="Times New Roman"/>
                <w:b/>
                <w:bCs/>
                <w:color w:val="auto"/>
                <w:szCs w:val="21"/>
              </w:rPr>
            </w:pPr>
            <w:r>
              <w:rPr>
                <w:rFonts w:hint="eastAsia" w:ascii="Times New Roman" w:hAnsi="Times New Roman" w:eastAsia="宋体" w:cs="Times New Roman"/>
                <w:b/>
                <w:bCs/>
                <w:color w:val="auto"/>
                <w:szCs w:val="24"/>
              </w:rPr>
              <w:t>计划的调整</w:t>
            </w:r>
          </w:p>
        </w:tc>
        <w:tc>
          <w:tcPr>
            <w:tcW w:w="7795" w:type="dxa"/>
          </w:tcPr>
          <w:p>
            <w:pPr>
              <w:snapToGrid w:val="0"/>
              <w:spacing w:line="360" w:lineRule="auto"/>
              <w:contextualSpacing/>
              <w:rPr>
                <w:rFonts w:hint="eastAsia" w:ascii="宋体" w:hAnsi="宋体" w:eastAsia="宋体" w:cs="Times New Roman"/>
                <w:color w:val="auto"/>
                <w:szCs w:val="21"/>
              </w:rPr>
            </w:pPr>
            <w:r>
              <w:rPr>
                <w:rFonts w:hint="eastAsia" w:ascii="宋体" w:hAnsi="宋体" w:eastAsia="宋体" w:cs="Times New Roman"/>
                <w:color w:val="auto"/>
                <w:szCs w:val="21"/>
              </w:rPr>
              <w:t>根据项目开发计划级别，关键节点计划一般不允许变动。如由于公司发展战略、经营策略等因素变化、开发过程中发生不可抗力（如自然灾害、政府审批流程变化等）而导致关键节点计划主动或被动调整，必须由公司总经办发起，经总裁审批确认后确认调整方向，并形成新的项目关键节点计划。主项计划、专项计划、部门月度计划调整根据项目实际过程进度、资源条件需求进行。</w:t>
            </w:r>
          </w:p>
          <w:p>
            <w:pPr>
              <w:widowControl/>
              <w:numPr>
                <w:ilvl w:val="0"/>
                <w:numId w:val="32"/>
              </w:numPr>
              <w:spacing w:line="360" w:lineRule="auto"/>
              <w:jc w:val="left"/>
              <w:outlineLvl w:val="0"/>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计划的调整流程</w:t>
            </w:r>
          </w:p>
          <w:p>
            <w:pPr>
              <w:spacing w:line="360" w:lineRule="auto"/>
              <w:ind w:left="462" w:leftChars="220"/>
              <w:rPr>
                <w:rFonts w:ascii="宋体" w:hAnsi="宋体" w:eastAsia="宋体" w:cs="Times New Roman"/>
                <w:color w:val="auto"/>
                <w:szCs w:val="21"/>
              </w:rPr>
            </w:pPr>
            <w:r>
              <w:rPr>
                <w:rFonts w:hint="eastAsia" w:ascii="宋体" w:hAnsi="宋体" w:eastAsia="宋体" w:cs="Times New Roman"/>
                <w:color w:val="auto"/>
                <w:szCs w:val="21"/>
              </w:rPr>
              <w:t>项目关键节点计划的调整流程：项目关键节点计划一般不允许变动，当项目关键节点计划须进行调整时，由总裁办提出调整申请，召集相关部门进行专题会议，由与会部门负责人确定项目关键节点的调整报总裁审批。</w:t>
            </w:r>
          </w:p>
          <w:p>
            <w:pPr>
              <w:widowControl/>
              <w:numPr>
                <w:ilvl w:val="0"/>
                <w:numId w:val="32"/>
              </w:numPr>
              <w:spacing w:line="360" w:lineRule="auto"/>
              <w:jc w:val="left"/>
              <w:outlineLvl w:val="0"/>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项目主项计划的调整流程：</w:t>
            </w:r>
          </w:p>
          <w:p>
            <w:pPr>
              <w:numPr>
                <w:ilvl w:val="0"/>
                <w:numId w:val="33"/>
              </w:numPr>
              <w:spacing w:line="360" w:lineRule="auto"/>
              <w:rPr>
                <w:rFonts w:ascii="宋体" w:hAnsi="宋体" w:eastAsia="宋体" w:cs="Times New Roman"/>
                <w:color w:val="auto"/>
                <w:szCs w:val="21"/>
              </w:rPr>
            </w:pPr>
            <w:r>
              <w:rPr>
                <w:rFonts w:hint="eastAsia" w:ascii="宋体" w:hAnsi="宋体" w:eastAsia="宋体" w:cs="Times New Roman"/>
                <w:color w:val="auto"/>
                <w:szCs w:val="21"/>
              </w:rPr>
              <w:t>如因公司项目关键节点计划调整影响主项计划，需重新编制主项计划并进行各项目主项计划的审批；</w:t>
            </w:r>
          </w:p>
          <w:p>
            <w:pPr>
              <w:numPr>
                <w:ilvl w:val="0"/>
                <w:numId w:val="33"/>
              </w:numPr>
              <w:spacing w:line="360" w:lineRule="auto"/>
              <w:rPr>
                <w:rFonts w:ascii="宋体" w:hAnsi="宋体" w:eastAsia="宋体" w:cs="Times New Roman"/>
                <w:color w:val="auto"/>
                <w:szCs w:val="21"/>
              </w:rPr>
            </w:pPr>
            <w:r>
              <w:rPr>
                <w:rFonts w:hint="eastAsia" w:ascii="宋体" w:hAnsi="宋体" w:eastAsia="宋体" w:cs="Times New Roman"/>
                <w:color w:val="auto"/>
                <w:szCs w:val="21"/>
              </w:rPr>
              <w:t>当项目专项计划滞后且已影响其它专项计划或项目主项计划节点时，由责任部门提出调整申请，总经办进行判断影响级别，并组织相关部门负责人召开专题经营会议，由与会部门负责人确定项目主项计划的调整意见报总裁审批。</w:t>
            </w:r>
          </w:p>
          <w:p>
            <w:pPr>
              <w:widowControl/>
              <w:numPr>
                <w:ilvl w:val="0"/>
                <w:numId w:val="32"/>
              </w:numPr>
              <w:spacing w:line="360" w:lineRule="auto"/>
              <w:jc w:val="left"/>
              <w:outlineLvl w:val="0"/>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专项计划的调整流程：</w:t>
            </w:r>
          </w:p>
          <w:p>
            <w:pPr>
              <w:spacing w:line="360" w:lineRule="auto"/>
              <w:ind w:firstLine="420" w:firstLineChars="200"/>
              <w:rPr>
                <w:rFonts w:ascii="宋体" w:hAnsi="宋体" w:eastAsia="宋体" w:cs="Times New Roman"/>
                <w:color w:val="auto"/>
                <w:szCs w:val="21"/>
              </w:rPr>
            </w:pPr>
            <w:r>
              <w:rPr>
                <w:rFonts w:hint="eastAsia" w:ascii="宋体" w:hAnsi="宋体" w:eastAsia="宋体" w:cs="Times New Roman"/>
                <w:color w:val="auto"/>
                <w:szCs w:val="21"/>
              </w:rPr>
              <w:t>因主项计划调整影响专项计划，各部门需做对应调整，报总裁办批准后进入专项计划调整流程。</w:t>
            </w:r>
          </w:p>
          <w:p>
            <w:pPr>
              <w:widowControl/>
              <w:numPr>
                <w:ilvl w:val="0"/>
                <w:numId w:val="32"/>
              </w:numPr>
              <w:spacing w:line="360" w:lineRule="auto"/>
              <w:jc w:val="left"/>
              <w:outlineLvl w:val="0"/>
              <w:rPr>
                <w:rFonts w:hint="eastAsia"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月度计划的调整流程：</w:t>
            </w:r>
          </w:p>
          <w:p>
            <w:pPr>
              <w:numPr>
                <w:ilvl w:val="0"/>
                <w:numId w:val="34"/>
              </w:numPr>
              <w:spacing w:line="360" w:lineRule="auto"/>
              <w:rPr>
                <w:rFonts w:ascii="宋体" w:hAnsi="宋体" w:eastAsia="宋体" w:cs="Times New Roman"/>
                <w:color w:val="auto"/>
                <w:szCs w:val="21"/>
              </w:rPr>
            </w:pPr>
            <w:r>
              <w:rPr>
                <w:rFonts w:hint="eastAsia" w:ascii="宋体" w:hAnsi="宋体" w:eastAsia="宋体" w:cs="Times New Roman"/>
                <w:color w:val="auto"/>
                <w:szCs w:val="21"/>
              </w:rPr>
              <w:t>主项计划、专项计划或其他事务性工作因各种原因调整后，部门月度计划按要求做出相应调整，具体参照部门月度计划编制流程。月度计划调整原则上需于当月15日前完成申请并报总裁办备案。</w:t>
            </w:r>
          </w:p>
          <w:p>
            <w:pPr>
              <w:numPr>
                <w:ilvl w:val="0"/>
                <w:numId w:val="34"/>
              </w:numPr>
              <w:spacing w:line="360" w:lineRule="auto"/>
              <w:rPr>
                <w:rFonts w:hint="eastAsia" w:ascii="宋体" w:hAnsi="宋体" w:eastAsia="宋体" w:cs="Times New Roman"/>
                <w:color w:val="auto"/>
                <w:szCs w:val="21"/>
              </w:rPr>
            </w:pPr>
            <w:r>
              <w:rPr>
                <w:rFonts w:hint="eastAsia" w:ascii="宋体" w:hAnsi="宋体" w:eastAsia="宋体" w:cs="Times New Roman"/>
                <w:color w:val="auto"/>
                <w:szCs w:val="21"/>
              </w:rPr>
              <w:t>因某部门工作造成其他部门工作延误的，根据实际需求由总裁办协调，延误部门提出计划调整。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1" w:type="dxa"/>
            <w:vAlign w:val="center"/>
          </w:tcPr>
          <w:p>
            <w:pPr>
              <w:snapToGrid w:val="0"/>
              <w:spacing w:line="360" w:lineRule="auto"/>
              <w:contextualSpacing/>
              <w:jc w:val="center"/>
              <w:rPr>
                <w:rFonts w:hint="eastAsia" w:ascii="宋体" w:hAnsi="宋体" w:eastAsia="宋体" w:cs="Times New Roman"/>
                <w:b/>
                <w:bCs/>
                <w:color w:val="auto"/>
                <w:szCs w:val="24"/>
              </w:rPr>
            </w:pPr>
            <w:r>
              <w:rPr>
                <w:rFonts w:hint="eastAsia" w:ascii="宋体" w:hAnsi="宋体" w:eastAsia="宋体" w:cs="Times New Roman"/>
                <w:b/>
                <w:bCs/>
                <w:color w:val="auto"/>
                <w:szCs w:val="24"/>
              </w:rPr>
              <w:t>计划执行跟踪</w:t>
            </w:r>
          </w:p>
        </w:tc>
        <w:tc>
          <w:tcPr>
            <w:tcW w:w="7795" w:type="dxa"/>
          </w:tcPr>
          <w:p>
            <w:pPr>
              <w:widowControl/>
              <w:numPr>
                <w:ilvl w:val="0"/>
                <w:numId w:val="35"/>
              </w:numPr>
              <w:spacing w:line="360" w:lineRule="auto"/>
              <w:jc w:val="left"/>
              <w:outlineLvl w:val="0"/>
              <w:rPr>
                <w:rFonts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计划执行方式</w:t>
            </w:r>
          </w:p>
          <w:p>
            <w:pPr>
              <w:spacing w:line="360" w:lineRule="auto"/>
              <w:ind w:left="425"/>
              <w:rPr>
                <w:rFonts w:hint="eastAsia" w:ascii="Times New Roman" w:hAnsi="Times New Roman" w:eastAsia="宋体" w:cs="Times New Roman"/>
                <w:bCs/>
                <w:color w:val="auto"/>
                <w:szCs w:val="24"/>
              </w:rPr>
            </w:pPr>
            <w:r>
              <w:rPr>
                <w:rFonts w:hint="eastAsia" w:ascii="Times New Roman" w:hAnsi="Times New Roman" w:eastAsia="宋体" w:cs="Times New Roman"/>
                <w:bCs/>
                <w:color w:val="auto"/>
                <w:szCs w:val="24"/>
              </w:rPr>
              <w:t>项目计划执行过程的跟踪汇报主要采用线上计划系统结合线下工作例会、各项巡检方式进行，总经办、总经办对项目各级别计划进行过程监控；各部门、项目对计划完成情况进行过程汇报工作，由总裁办复核。</w:t>
            </w:r>
          </w:p>
          <w:p>
            <w:pPr>
              <w:widowControl/>
              <w:numPr>
                <w:ilvl w:val="0"/>
                <w:numId w:val="35"/>
              </w:numPr>
              <w:spacing w:line="360" w:lineRule="auto"/>
              <w:jc w:val="left"/>
              <w:outlineLvl w:val="0"/>
              <w:rPr>
                <w:rFonts w:ascii="Times New Roman" w:hAnsi="Times New Roman" w:eastAsia="宋体" w:cs="Times New Roman"/>
                <w:b/>
                <w:bCs/>
                <w:color w:val="auto"/>
                <w:szCs w:val="24"/>
              </w:rPr>
            </w:pPr>
            <w:bookmarkStart w:id="7" w:name="_Toc510961441"/>
            <w:r>
              <w:rPr>
                <w:rFonts w:hint="eastAsia" w:ascii="Times New Roman" w:hAnsi="Times New Roman" w:eastAsia="宋体" w:cs="Times New Roman"/>
                <w:b/>
                <w:bCs/>
                <w:color w:val="auto"/>
                <w:szCs w:val="24"/>
              </w:rPr>
              <w:t>计划的过程的跟踪汇报</w:t>
            </w:r>
            <w:bookmarkEnd w:id="7"/>
          </w:p>
          <w:p>
            <w:pPr>
              <w:numPr>
                <w:ilvl w:val="0"/>
                <w:numId w:val="36"/>
              </w:numPr>
              <w:spacing w:line="360" w:lineRule="auto"/>
              <w:rPr>
                <w:rFonts w:hint="eastAsia" w:ascii="Times New Roman" w:hAnsi="Times New Roman" w:eastAsia="宋体" w:cs="Times New Roman"/>
                <w:bCs/>
                <w:color w:val="auto"/>
                <w:szCs w:val="24"/>
              </w:rPr>
            </w:pPr>
            <w:r>
              <w:rPr>
                <w:rFonts w:hint="eastAsia" w:ascii="Times New Roman" w:hAnsi="Times New Roman" w:eastAsia="宋体" w:cs="Times New Roman"/>
                <w:bCs/>
                <w:color w:val="auto"/>
                <w:szCs w:val="24"/>
              </w:rPr>
              <w:t>总裁办负责项目各级别计划完成情况的跟踪监控，</w:t>
            </w:r>
            <w:r>
              <w:rPr>
                <w:rFonts w:ascii="Times New Roman" w:hAnsi="Times New Roman" w:eastAsia="宋体" w:cs="Times New Roman"/>
                <w:bCs/>
                <w:color w:val="auto"/>
                <w:szCs w:val="24"/>
              </w:rPr>
              <w:t>统计收集项目运营</w:t>
            </w:r>
            <w:r>
              <w:rPr>
                <w:rFonts w:hint="eastAsia" w:ascii="Times New Roman" w:hAnsi="Times New Roman" w:eastAsia="宋体" w:cs="Times New Roman"/>
                <w:bCs/>
                <w:color w:val="auto"/>
                <w:szCs w:val="24"/>
              </w:rPr>
              <w:t>计划节点执行情况，形成计划执行情况月报，</w:t>
            </w:r>
            <w:r>
              <w:rPr>
                <w:rFonts w:ascii="Times New Roman" w:hAnsi="Times New Roman" w:eastAsia="宋体" w:cs="Times New Roman"/>
                <w:bCs/>
                <w:color w:val="auto"/>
                <w:szCs w:val="24"/>
              </w:rPr>
              <w:t>每月</w:t>
            </w:r>
            <w:r>
              <w:rPr>
                <w:rFonts w:hint="eastAsia" w:ascii="Times New Roman" w:hAnsi="Times New Roman" w:eastAsia="宋体" w:cs="Times New Roman"/>
                <w:bCs/>
                <w:color w:val="auto"/>
                <w:szCs w:val="24"/>
              </w:rPr>
              <w:t>在月度经营例会上汇报当月执行情况，汇报结果作为项目计划考核的依据之一。</w:t>
            </w:r>
          </w:p>
          <w:p>
            <w:pPr>
              <w:numPr>
                <w:ilvl w:val="0"/>
                <w:numId w:val="36"/>
              </w:numPr>
              <w:spacing w:line="360" w:lineRule="auto"/>
              <w:rPr>
                <w:rFonts w:ascii="Times New Roman" w:hAnsi="Times New Roman" w:eastAsia="宋体" w:cs="Times New Roman"/>
                <w:bCs/>
                <w:color w:val="auto"/>
                <w:szCs w:val="24"/>
              </w:rPr>
            </w:pPr>
            <w:r>
              <w:rPr>
                <w:rFonts w:hint="eastAsia" w:ascii="Times New Roman" w:hAnsi="Times New Roman" w:eastAsia="宋体" w:cs="Times New Roman"/>
                <w:bCs/>
                <w:color w:val="auto"/>
                <w:szCs w:val="24"/>
              </w:rPr>
              <w:t>执行过程中，各部门/项目需指定专职负责人对项目关键节点计划、主项计划、专项计划进行上载汇报工作；过程汇报内容包括但不限于计划开始时间、过程进度、预计完成时间、过程形象进度、需公司部门配合事项。已完成计划工作项相关信息（包含形象进度、阶段性成果）需于完成时间后一周内上交给总裁办公室做工作汇报，总裁办于办公会召开前生成汇报材料提交总裁。</w:t>
            </w:r>
          </w:p>
          <w:p>
            <w:pPr>
              <w:widowControl/>
              <w:numPr>
                <w:ilvl w:val="0"/>
                <w:numId w:val="35"/>
              </w:numPr>
              <w:spacing w:line="360" w:lineRule="auto"/>
              <w:jc w:val="left"/>
              <w:outlineLvl w:val="0"/>
              <w:rPr>
                <w:rFonts w:hint="eastAsia"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项目计划管理</w:t>
            </w:r>
          </w:p>
          <w:p>
            <w:pPr>
              <w:numPr>
                <w:ilvl w:val="0"/>
                <w:numId w:val="37"/>
              </w:numPr>
              <w:spacing w:line="360" w:lineRule="auto"/>
              <w:rPr>
                <w:rFonts w:hint="eastAsia" w:ascii="Times New Roman" w:hAnsi="Times New Roman" w:eastAsia="宋体" w:cs="Times New Roman"/>
                <w:bCs/>
                <w:color w:val="auto"/>
                <w:szCs w:val="24"/>
              </w:rPr>
            </w:pPr>
            <w:r>
              <w:rPr>
                <w:rFonts w:hint="eastAsia" w:ascii="Times New Roman" w:hAnsi="Times New Roman" w:eastAsia="宋体" w:cs="Times New Roman"/>
                <w:bCs/>
                <w:color w:val="auto"/>
                <w:szCs w:val="24"/>
              </w:rPr>
              <w:t>公司总裁办每月第一个工作日协同各项目负责人召开月度项目计划例会，就各项目运营计划执行情况、计划偏差情况、原因分析、解决措施、资源协调等进行沟通和讨论，并对重要工作事项形成会议纪要。总裁办负责对会议各项决议跟踪督办；</w:t>
            </w:r>
          </w:p>
          <w:p>
            <w:pPr>
              <w:numPr>
                <w:ilvl w:val="0"/>
                <w:numId w:val="37"/>
              </w:numPr>
              <w:spacing w:line="360" w:lineRule="auto"/>
              <w:rPr>
                <w:rFonts w:hint="eastAsia" w:ascii="Times New Roman" w:hAnsi="Times New Roman" w:eastAsia="宋体" w:cs="Times New Roman"/>
                <w:bCs/>
                <w:color w:val="auto"/>
                <w:szCs w:val="24"/>
              </w:rPr>
            </w:pPr>
            <w:r>
              <w:rPr>
                <w:rFonts w:hint="eastAsia" w:ascii="Times New Roman" w:hAnsi="Times New Roman" w:eastAsia="宋体" w:cs="Times New Roman"/>
                <w:bCs/>
                <w:color w:val="auto"/>
                <w:szCs w:val="24"/>
              </w:rPr>
              <w:t>各项目根据开发进度需求，形成周例会、月例会制度，对会议内容形成纪要并报公司总裁办备案；</w:t>
            </w:r>
          </w:p>
        </w:tc>
      </w:tr>
    </w:tbl>
    <w:p>
      <w:pPr>
        <w:tabs>
          <w:tab w:val="left" w:pos="709"/>
        </w:tabs>
        <w:spacing w:line="360" w:lineRule="auto"/>
        <w:rPr>
          <w:rFonts w:hint="eastAsia" w:ascii="宋体" w:hAnsi="宋体" w:eastAsia="宋体" w:cs="Times New Roman"/>
          <w:bCs/>
          <w:color w:val="auto"/>
          <w:szCs w:val="21"/>
        </w:rPr>
      </w:pPr>
    </w:p>
    <w:p>
      <w:pPr>
        <w:tabs>
          <w:tab w:val="left" w:pos="709"/>
        </w:tabs>
        <w:spacing w:line="360" w:lineRule="auto"/>
        <w:rPr>
          <w:rFonts w:hint="eastAsia" w:ascii="宋体" w:hAnsi="宋体" w:eastAsia="宋体" w:cs="Times New Roman"/>
          <w:bCs/>
          <w:color w:val="auto"/>
          <w:szCs w:val="21"/>
        </w:rPr>
      </w:pPr>
      <w:r>
        <w:rPr>
          <w:rFonts w:hint="eastAsia" w:ascii="宋体" w:hAnsi="宋体" w:eastAsia="宋体" w:cs="Times New Roman"/>
          <w:bCs/>
          <w:color w:val="auto"/>
          <w:szCs w:val="21"/>
        </w:rPr>
        <w:t>5.2</w:t>
      </w:r>
      <w:r>
        <w:rPr>
          <w:rFonts w:hint="eastAsia" w:ascii="宋体" w:hAnsi="宋体" w:eastAsia="宋体" w:cs="Times New Roman"/>
          <w:bCs/>
          <w:color w:val="auto"/>
          <w:szCs w:val="21"/>
        </w:rPr>
        <w:tab/>
      </w:r>
      <w:r>
        <w:rPr>
          <w:rFonts w:hint="eastAsia" w:ascii="宋体" w:hAnsi="宋体" w:eastAsia="宋体" w:cs="Times New Roman"/>
          <w:bCs/>
          <w:color w:val="auto"/>
          <w:szCs w:val="21"/>
        </w:rPr>
        <w:t>计划预警机制</w:t>
      </w:r>
    </w:p>
    <w:p>
      <w:pPr>
        <w:spacing w:line="360" w:lineRule="auto"/>
        <w:ind w:left="425" w:firstLine="420" w:firstLineChars="200"/>
        <w:rPr>
          <w:rFonts w:hint="eastAsia" w:ascii="Times New Roman" w:hAnsi="Times New Roman" w:eastAsia="宋体" w:cs="Times New Roman"/>
          <w:color w:val="auto"/>
          <w:szCs w:val="24"/>
        </w:rPr>
      </w:pPr>
      <w:r>
        <w:rPr>
          <w:rFonts w:ascii="Times New Roman" w:hAnsi="Times New Roman" w:eastAsia="宋体" w:cs="Times New Roman"/>
          <w:color w:val="auto"/>
          <w:szCs w:val="24"/>
        </w:rPr>
        <w:t>根据“信息及时性”原则，各部门一旦发现可能的计划延误，应根据计划延误</w:t>
      </w:r>
      <w:r>
        <w:rPr>
          <w:rFonts w:hint="eastAsia" w:ascii="Times New Roman" w:hAnsi="Times New Roman" w:eastAsia="宋体" w:cs="Times New Roman"/>
          <w:color w:val="auto"/>
          <w:szCs w:val="24"/>
        </w:rPr>
        <w:t>情况至少提前1个月</w:t>
      </w:r>
      <w:r>
        <w:rPr>
          <w:rFonts w:ascii="Times New Roman" w:hAnsi="Times New Roman" w:eastAsia="宋体" w:cs="Times New Roman"/>
          <w:color w:val="auto"/>
          <w:szCs w:val="24"/>
        </w:rPr>
        <w:t>向</w:t>
      </w:r>
      <w:r>
        <w:rPr>
          <w:rFonts w:hint="eastAsia" w:ascii="Times New Roman" w:hAnsi="Times New Roman" w:eastAsia="宋体" w:cs="Times New Roman"/>
          <w:color w:val="auto"/>
          <w:szCs w:val="24"/>
        </w:rPr>
        <w:t>总经办</w:t>
      </w:r>
      <w:r>
        <w:rPr>
          <w:rFonts w:ascii="Times New Roman" w:hAnsi="Times New Roman" w:eastAsia="宋体" w:cs="Times New Roman"/>
          <w:color w:val="auto"/>
          <w:szCs w:val="24"/>
        </w:rPr>
        <w:t>汇报。如未提前汇报而造成节点计划延误，将按照信息瞒报进行处理。</w:t>
      </w:r>
    </w:p>
    <w:p>
      <w:pPr>
        <w:spacing w:line="360" w:lineRule="auto"/>
        <w:ind w:left="425"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rPr>
        <w:t>总裁办根据计划级别、实际开发进度及所需资源情况，提前预判可能发生延误的工作项，责任部门需在规定时间内回复应对措施及计划。如涉及计划调整，需按计划调整流程进行。</w:t>
      </w:r>
    </w:p>
    <w:p>
      <w:pPr>
        <w:tabs>
          <w:tab w:val="left" w:pos="709"/>
        </w:tabs>
        <w:spacing w:line="360" w:lineRule="auto"/>
        <w:rPr>
          <w:color w:val="auto"/>
        </w:rPr>
      </w:pPr>
    </w:p>
    <w:sectPr>
      <w:footerReference r:id="rId3" w:type="default"/>
      <w:pgSz w:w="11906" w:h="16838"/>
      <w:pgMar w:top="1418" w:right="1134" w:bottom="1134" w:left="1418" w:header="851" w:footer="76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lang w:val="zh-CN"/>
      </w:rPr>
    </w:pPr>
    <w:r>
      <w:rPr>
        <w:rFonts w:ascii="宋体" w:hAnsi="宋体"/>
        <w:sz w:val="21"/>
        <w:szCs w:val="21"/>
        <w:lang w:val="zh-CN"/>
      </w:rPr>
      <w:t xml:space="preserve"> </w:t>
    </w:r>
    <w:r>
      <w:rPr>
        <w:rFonts w:hint="eastAsia" w:ascii="宋体" w:hAnsi="宋体"/>
        <w:sz w:val="21"/>
        <w:szCs w:val="21"/>
        <w:lang w:val="zh-CN"/>
      </w:rPr>
      <w:t xml:space="preserve">第 </w:t>
    </w:r>
    <w:r>
      <w:rPr>
        <w:rFonts w:ascii="宋体" w:hAnsi="宋体"/>
        <w:bCs/>
        <w:sz w:val="21"/>
        <w:szCs w:val="21"/>
      </w:rPr>
      <w:fldChar w:fldCharType="begin"/>
    </w:r>
    <w:r>
      <w:rPr>
        <w:rFonts w:ascii="宋体" w:hAnsi="宋体"/>
        <w:bCs/>
        <w:sz w:val="21"/>
        <w:szCs w:val="21"/>
      </w:rPr>
      <w:instrText xml:space="preserve">PAGE  \* Arabic  \* MERGEFORMAT</w:instrText>
    </w:r>
    <w:r>
      <w:rPr>
        <w:rFonts w:ascii="宋体" w:hAnsi="宋体"/>
        <w:bCs/>
        <w:sz w:val="21"/>
        <w:szCs w:val="21"/>
      </w:rPr>
      <w:fldChar w:fldCharType="separate"/>
    </w:r>
    <w:r>
      <w:rPr>
        <w:rFonts w:ascii="宋体" w:hAnsi="宋体"/>
        <w:bCs/>
        <w:sz w:val="21"/>
        <w:szCs w:val="21"/>
        <w:lang w:val="zh-CN"/>
      </w:rPr>
      <w:t>13</w:t>
    </w:r>
    <w:r>
      <w:rPr>
        <w:rFonts w:ascii="宋体" w:hAnsi="宋体"/>
        <w:bCs/>
        <w:sz w:val="21"/>
        <w:szCs w:val="21"/>
      </w:rPr>
      <w:fldChar w:fldCharType="end"/>
    </w:r>
    <w:r>
      <w:rPr>
        <w:rFonts w:ascii="宋体" w:hAnsi="宋体"/>
        <w:bCs/>
        <w:sz w:val="21"/>
        <w:szCs w:val="21"/>
      </w:rPr>
      <w:t xml:space="preserve"> </w:t>
    </w:r>
    <w:r>
      <w:rPr>
        <w:rFonts w:hint="eastAsia" w:ascii="宋体" w:hAnsi="宋体"/>
        <w:bCs/>
        <w:sz w:val="21"/>
        <w:szCs w:val="21"/>
      </w:rPr>
      <w:t>页</w:t>
    </w:r>
    <w:r>
      <w:rPr>
        <w:rFonts w:ascii="宋体" w:hAnsi="宋体"/>
        <w:sz w:val="21"/>
        <w:szCs w:val="21"/>
        <w:lang w:val="zh-CN"/>
      </w:rPr>
      <w:t xml:space="preserve"> / </w:t>
    </w:r>
    <w:r>
      <w:rPr>
        <w:rFonts w:hint="eastAsia" w:ascii="宋体" w:hAnsi="宋体"/>
        <w:sz w:val="21"/>
        <w:szCs w:val="21"/>
        <w:lang w:val="zh-CN"/>
      </w:rPr>
      <w:t>共 14</w:t>
    </w:r>
  </w:p>
  <w:p>
    <w:pPr>
      <w:pStyle w:val="2"/>
      <w:jc w:val="center"/>
      <w:rPr>
        <w:rFonts w:hint="eastAsia" w:ascii="宋体" w:hAnsi="宋体"/>
        <w:sz w:val="21"/>
        <w:szCs w:val="21"/>
      </w:rPr>
    </w:pPr>
    <w:r>
      <w:rPr>
        <w:rFonts w:ascii="宋体" w:hAnsi="宋体"/>
        <w:sz w:val="21"/>
        <w:szCs w:val="21"/>
        <w:lang w:val="zh-CN"/>
      </w:rPr>
      <w:t xml:space="preserve"> </w:t>
    </w:r>
    <w:r>
      <w:rPr>
        <w:rFonts w:hint="eastAsia" w:ascii="宋体" w:hAnsi="宋体"/>
        <w:bCs/>
        <w:sz w:val="21"/>
        <w:szCs w:val="21"/>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B1C"/>
    <w:multiLevelType w:val="multilevel"/>
    <w:tmpl w:val="01C17B1C"/>
    <w:lvl w:ilvl="0" w:tentative="0">
      <w:start w:val="1"/>
      <w:numFmt w:val="decimal"/>
      <w:lvlText w:val="6.%1"/>
      <w:lvlJc w:val="left"/>
      <w:pPr>
        <w:ind w:left="420" w:hanging="420"/>
      </w:pPr>
      <w:rPr>
        <w:rFonts w:hint="eastAsia" w:ascii="宋体" w:hAnsi="宋体" w:eastAsia="宋体" w:cs="Times New Roman"/>
        <w:b/>
        <w:i w:val="0"/>
      </w:rPr>
    </w:lvl>
    <w:lvl w:ilvl="1" w:tentative="0">
      <w:start w:val="1"/>
      <w:numFmt w:val="decimal"/>
      <w:lvlText w:val="6.%2"/>
      <w:lvlJc w:val="left"/>
      <w:pPr>
        <w:ind w:left="840" w:hanging="420"/>
      </w:pPr>
      <w:rPr>
        <w:rFonts w:hint="eastAsia" w:ascii="宋体" w:hAnsi="宋体" w:eastAsia="宋体" w:cs="Times New Roman"/>
        <w:b/>
        <w:i w:val="0"/>
        <w:shadow w:val="0"/>
        <w:emboss w:val="0"/>
        <w:imprint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3518FB"/>
    <w:multiLevelType w:val="multilevel"/>
    <w:tmpl w:val="043518F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56D535B"/>
    <w:multiLevelType w:val="multilevel"/>
    <w:tmpl w:val="056D535B"/>
    <w:lvl w:ilvl="0" w:tentative="0">
      <w:start w:val="1"/>
      <w:numFmt w:val="lowerLetter"/>
      <w:lvlText w:val="%1)"/>
      <w:lvlJc w:val="left"/>
      <w:pPr>
        <w:ind w:left="846" w:hanging="420"/>
      </w:pPr>
    </w:lvl>
    <w:lvl w:ilvl="1" w:tentative="0">
      <w:start w:val="1"/>
      <w:numFmt w:val="decimalEnclosedCircle"/>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C346B71"/>
    <w:multiLevelType w:val="multilevel"/>
    <w:tmpl w:val="0C346B71"/>
    <w:lvl w:ilvl="0" w:tentative="0">
      <w:start w:val="7"/>
      <w:numFmt w:val="decimal"/>
      <w:lvlText w:val="%1."/>
      <w:lvlJc w:val="left"/>
      <w:pPr>
        <w:tabs>
          <w:tab w:val="left" w:pos="454"/>
        </w:tabs>
        <w:ind w:left="624" w:hanging="624"/>
      </w:pPr>
      <w:rPr>
        <w:rFonts w:hint="eastAsia"/>
        <w:b/>
        <w:i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F4B5462"/>
    <w:multiLevelType w:val="multilevel"/>
    <w:tmpl w:val="0F4B5462"/>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F02145"/>
    <w:multiLevelType w:val="multilevel"/>
    <w:tmpl w:val="0FF0214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370638"/>
    <w:multiLevelType w:val="multilevel"/>
    <w:tmpl w:val="12370638"/>
    <w:lvl w:ilvl="0" w:tentative="0">
      <w:start w:val="1"/>
      <w:numFmt w:val="decimal"/>
      <w:lvlText w:val="%1)"/>
      <w:lvlJc w:val="left"/>
      <w:pPr>
        <w:ind w:left="468" w:hanging="420"/>
      </w:pPr>
      <w:rPr>
        <w:rFonts w:hint="eastAsia"/>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abstractNum w:abstractNumId="7">
    <w:nsid w:val="12B9668C"/>
    <w:multiLevelType w:val="multilevel"/>
    <w:tmpl w:val="12B9668C"/>
    <w:lvl w:ilvl="0" w:tentative="0">
      <w:start w:val="1"/>
      <w:numFmt w:val="decimal"/>
      <w:lvlText w:val="%1)"/>
      <w:lvlJc w:val="left"/>
      <w:pPr>
        <w:ind w:left="468" w:hanging="420"/>
      </w:pPr>
      <w:rPr>
        <w:rFonts w:hint="eastAsia"/>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abstractNum w:abstractNumId="8">
    <w:nsid w:val="150F035A"/>
    <w:multiLevelType w:val="multilevel"/>
    <w:tmpl w:val="150F035A"/>
    <w:lvl w:ilvl="0" w:tentative="0">
      <w:start w:val="1"/>
      <w:numFmt w:val="lowerLetter"/>
      <w:lvlText w:val="%1)"/>
      <w:lvlJc w:val="left"/>
      <w:pPr>
        <w:ind w:left="846" w:hanging="420"/>
      </w:pPr>
    </w:lvl>
    <w:lvl w:ilvl="1" w:tentative="0">
      <w:start w:val="1"/>
      <w:numFmt w:val="decimalEnclosedCircle"/>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19E763F9"/>
    <w:multiLevelType w:val="multilevel"/>
    <w:tmpl w:val="19E763F9"/>
    <w:lvl w:ilvl="0" w:tentative="0">
      <w:start w:val="1"/>
      <w:numFmt w:val="decimal"/>
      <w:lvlText w:val="6.1.%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E47DAA"/>
    <w:multiLevelType w:val="multilevel"/>
    <w:tmpl w:val="1CE47DAA"/>
    <w:lvl w:ilvl="0" w:tentative="0">
      <w:start w:val="1"/>
      <w:numFmt w:val="decimal"/>
      <w:lvlText w:val="%1)"/>
      <w:lvlJc w:val="left"/>
      <w:pPr>
        <w:ind w:left="468" w:hanging="420"/>
      </w:pPr>
      <w:rPr>
        <w:rFonts w:hint="eastAsia"/>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abstractNum w:abstractNumId="11">
    <w:nsid w:val="20D71A83"/>
    <w:multiLevelType w:val="multilevel"/>
    <w:tmpl w:val="20D71A83"/>
    <w:lvl w:ilvl="0" w:tentative="0">
      <w:start w:val="1"/>
      <w:numFmt w:val="decimal"/>
      <w:lvlText w:val="%1."/>
      <w:lvlJc w:val="left"/>
      <w:pPr>
        <w:tabs>
          <w:tab w:val="left" w:pos="737"/>
        </w:tabs>
        <w:ind w:left="737" w:hanging="737"/>
      </w:pPr>
      <w:rPr>
        <w:rFonts w:hint="eastAsia" w:ascii="宋体" w:hAnsi="宋体" w:eastAsia="宋体"/>
        <w:b/>
        <w:i w:val="0"/>
      </w:rPr>
    </w:lvl>
    <w:lvl w:ilvl="1" w:tentative="0">
      <w:start w:val="1"/>
      <w:numFmt w:val="decimal"/>
      <w:lvlText w:val="%1.%2"/>
      <w:lvlJc w:val="left"/>
      <w:pPr>
        <w:tabs>
          <w:tab w:val="left" w:pos="1163"/>
        </w:tabs>
        <w:ind w:left="1163" w:hanging="737"/>
      </w:pPr>
      <w:rPr>
        <w:rFonts w:hint="eastAsia" w:ascii="宋体" w:hAnsi="宋体" w:eastAsia="宋体"/>
        <w:b/>
        <w:i w:val="0"/>
      </w:rPr>
    </w:lvl>
    <w:lvl w:ilvl="2" w:tentative="0">
      <w:start w:val="1"/>
      <w:numFmt w:val="decimal"/>
      <w:lvlText w:val="%1.%2.%3"/>
      <w:lvlJc w:val="left"/>
      <w:pPr>
        <w:tabs>
          <w:tab w:val="left" w:pos="737"/>
        </w:tabs>
        <w:ind w:left="737" w:hanging="737"/>
      </w:pPr>
      <w:rPr>
        <w:rFonts w:hint="default" w:ascii="宋体" w:hAnsi="宋体" w:eastAsia="宋体" w:cs="Arial"/>
        <w:b w:val="0"/>
      </w:rPr>
    </w:lvl>
    <w:lvl w:ilvl="3" w:tentative="0">
      <w:start w:val="1"/>
      <w:numFmt w:val="decimal"/>
      <w:lvlText w:val="%4）"/>
      <w:lvlJc w:val="left"/>
      <w:pPr>
        <w:tabs>
          <w:tab w:val="left" w:pos="1050"/>
        </w:tabs>
        <w:ind w:left="1050" w:hanging="340"/>
      </w:pPr>
      <w:rPr>
        <w:rFonts w:hint="eastAsia" w:ascii="宋体" w:hAnsi="宋体" w:eastAsia="宋体"/>
        <w:b w:val="0"/>
        <w:color w:val="auto"/>
      </w:rPr>
    </w:lvl>
    <w:lvl w:ilvl="4" w:tentative="0">
      <w:start w:val="1"/>
      <w:numFmt w:val="lowerLetter"/>
      <w:lvlText w:val="%5）"/>
      <w:lvlJc w:val="left"/>
      <w:pPr>
        <w:tabs>
          <w:tab w:val="left" w:pos="1418"/>
        </w:tabs>
        <w:ind w:left="1418" w:hanging="341"/>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28213068"/>
    <w:multiLevelType w:val="multilevel"/>
    <w:tmpl w:val="28213068"/>
    <w:lvl w:ilvl="0" w:tentative="0">
      <w:start w:val="1"/>
      <w:numFmt w:val="lowerLetter"/>
      <w:lvlText w:val="%1)"/>
      <w:lvlJc w:val="left"/>
      <w:pPr>
        <w:ind w:left="846" w:hanging="420"/>
      </w:pPr>
    </w:lvl>
    <w:lvl w:ilvl="1" w:tentative="0">
      <w:start w:val="1"/>
      <w:numFmt w:val="decimalEnclosedCircle"/>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3">
    <w:nsid w:val="28E771FD"/>
    <w:multiLevelType w:val="multilevel"/>
    <w:tmpl w:val="28E771FD"/>
    <w:lvl w:ilvl="0" w:tentative="0">
      <w:start w:val="1"/>
      <w:numFmt w:val="lowerLetter"/>
      <w:lvlText w:val="%1)"/>
      <w:lvlJc w:val="left"/>
      <w:pPr>
        <w:ind w:left="846" w:hanging="420"/>
      </w:pPr>
    </w:lvl>
    <w:lvl w:ilvl="1" w:tentative="0">
      <w:start w:val="1"/>
      <w:numFmt w:val="decimalEnclosedCircle"/>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4">
    <w:nsid w:val="29AB3DFD"/>
    <w:multiLevelType w:val="multilevel"/>
    <w:tmpl w:val="29AB3DFD"/>
    <w:lvl w:ilvl="0" w:tentative="0">
      <w:start w:val="1"/>
      <w:numFmt w:val="decimal"/>
      <w:lvlText w:val="6.8.%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5D154E"/>
    <w:multiLevelType w:val="multilevel"/>
    <w:tmpl w:val="305D154E"/>
    <w:lvl w:ilvl="0" w:tentative="0">
      <w:start w:val="1"/>
      <w:numFmt w:val="lowerLetter"/>
      <w:lvlText w:val="%1)"/>
      <w:lvlJc w:val="left"/>
      <w:pPr>
        <w:ind w:left="888" w:hanging="420"/>
      </w:p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16">
    <w:nsid w:val="35757B58"/>
    <w:multiLevelType w:val="multilevel"/>
    <w:tmpl w:val="35757B58"/>
    <w:lvl w:ilvl="0" w:tentative="0">
      <w:start w:val="1"/>
      <w:numFmt w:val="decimal"/>
      <w:lvlText w:val="6.7.%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25B50E3"/>
    <w:multiLevelType w:val="multilevel"/>
    <w:tmpl w:val="425B50E3"/>
    <w:lvl w:ilvl="0" w:tentative="0">
      <w:start w:val="1"/>
      <w:numFmt w:val="decimal"/>
      <w:lvlText w:val="4.%1"/>
      <w:lvlJc w:val="left"/>
      <w:pPr>
        <w:ind w:left="420"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2CD650E"/>
    <w:multiLevelType w:val="multilevel"/>
    <w:tmpl w:val="42CD650E"/>
    <w:lvl w:ilvl="0" w:tentative="0">
      <w:start w:val="1"/>
      <w:numFmt w:val="decimal"/>
      <w:lvlText w:val="%1)"/>
      <w:lvlJc w:val="left"/>
      <w:pPr>
        <w:ind w:left="468" w:hanging="420"/>
      </w:pPr>
      <w:rPr>
        <w:rFonts w:hint="eastAsia"/>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abstractNum w:abstractNumId="19">
    <w:nsid w:val="431071E5"/>
    <w:multiLevelType w:val="multilevel"/>
    <w:tmpl w:val="431071E5"/>
    <w:lvl w:ilvl="0" w:tentative="0">
      <w:start w:val="1"/>
      <w:numFmt w:val="decimal"/>
      <w:lvlText w:val="6.2.%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6DF279E"/>
    <w:multiLevelType w:val="multilevel"/>
    <w:tmpl w:val="46DF279E"/>
    <w:lvl w:ilvl="0" w:tentative="0">
      <w:start w:val="1"/>
      <w:numFmt w:val="decimal"/>
      <w:lvlText w:val="6.4.%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9481C53"/>
    <w:multiLevelType w:val="multilevel"/>
    <w:tmpl w:val="49481C53"/>
    <w:lvl w:ilvl="0" w:tentative="0">
      <w:start w:val="1"/>
      <w:numFmt w:val="lowerLetter"/>
      <w:lvlText w:val="%1)"/>
      <w:lvlJc w:val="left"/>
      <w:pPr>
        <w:ind w:left="846" w:hanging="420"/>
      </w:pPr>
    </w:lvl>
    <w:lvl w:ilvl="1" w:tentative="0">
      <w:start w:val="1"/>
      <w:numFmt w:val="decimalEnclosedCircle"/>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2">
    <w:nsid w:val="51417E0E"/>
    <w:multiLevelType w:val="multilevel"/>
    <w:tmpl w:val="51417E0E"/>
    <w:lvl w:ilvl="0" w:tentative="0">
      <w:start w:val="1"/>
      <w:numFmt w:val="decimal"/>
      <w:lvlText w:val="6.6.%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78E223F"/>
    <w:multiLevelType w:val="multilevel"/>
    <w:tmpl w:val="578E223F"/>
    <w:lvl w:ilvl="0" w:tentative="0">
      <w:start w:val="1"/>
      <w:numFmt w:val="lowerLetter"/>
      <w:lvlText w:val="%1)"/>
      <w:lvlJc w:val="left"/>
      <w:pPr>
        <w:ind w:left="846" w:hanging="420"/>
      </w:pPr>
    </w:lvl>
    <w:lvl w:ilvl="1" w:tentative="0">
      <w:start w:val="1"/>
      <w:numFmt w:val="decimalEnclosedCircle"/>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4">
    <w:nsid w:val="58810DC1"/>
    <w:multiLevelType w:val="multilevel"/>
    <w:tmpl w:val="58810DC1"/>
    <w:lvl w:ilvl="0" w:tentative="0">
      <w:start w:val="1"/>
      <w:numFmt w:val="decimal"/>
      <w:lvlText w:val="7.%1"/>
      <w:lvlJc w:val="left"/>
      <w:pPr>
        <w:ind w:left="420" w:hanging="420"/>
      </w:pPr>
      <w:rPr>
        <w:rFonts w:hint="eastAsia" w:ascii="宋体" w:hAnsi="宋体" w:eastAsia="宋体" w:cs="Times New Roman"/>
        <w:b w:val="0"/>
        <w:i w:val="0"/>
      </w:rPr>
    </w:lvl>
    <w:lvl w:ilvl="1" w:tentative="0">
      <w:start w:val="1"/>
      <w:numFmt w:val="decimal"/>
      <w:lvlText w:val="6.%2"/>
      <w:lvlJc w:val="left"/>
      <w:pPr>
        <w:ind w:left="840" w:hanging="420"/>
      </w:pPr>
      <w:rPr>
        <w:rFonts w:hint="eastAsia" w:ascii="宋体" w:hAnsi="宋体" w:eastAsia="宋体" w:cs="Times New Roman"/>
        <w:b/>
        <w:i w:val="0"/>
        <w:shadow w:val="0"/>
        <w:emboss w:val="0"/>
        <w:imprint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8FA3D16"/>
    <w:multiLevelType w:val="multilevel"/>
    <w:tmpl w:val="58FA3D16"/>
    <w:lvl w:ilvl="0" w:tentative="0">
      <w:start w:val="1"/>
      <w:numFmt w:val="decimal"/>
      <w:lvlText w:val="3.%1"/>
      <w:lvlJc w:val="left"/>
      <w:pPr>
        <w:ind w:left="420"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D530759"/>
    <w:multiLevelType w:val="multilevel"/>
    <w:tmpl w:val="5D530759"/>
    <w:lvl w:ilvl="0" w:tentative="0">
      <w:start w:val="1"/>
      <w:numFmt w:val="decimal"/>
      <w:lvlText w:val="%1)"/>
      <w:lvlJc w:val="left"/>
      <w:pPr>
        <w:ind w:left="468" w:hanging="420"/>
      </w:pPr>
      <w:rPr>
        <w:rFonts w:hint="eastAsia"/>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abstractNum w:abstractNumId="27">
    <w:nsid w:val="63B438B1"/>
    <w:multiLevelType w:val="multilevel"/>
    <w:tmpl w:val="63B438B1"/>
    <w:lvl w:ilvl="0" w:tentative="0">
      <w:start w:val="1"/>
      <w:numFmt w:val="decimal"/>
      <w:lvlText w:val="%1)"/>
      <w:lvlJc w:val="left"/>
      <w:pPr>
        <w:ind w:left="840" w:hanging="420"/>
      </w:pPr>
      <w:rPr>
        <w:rFonts w:hint="default"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65577D5D"/>
    <w:multiLevelType w:val="multilevel"/>
    <w:tmpl w:val="65577D5D"/>
    <w:lvl w:ilvl="0" w:tentative="0">
      <w:start w:val="5"/>
      <w:numFmt w:val="decimal"/>
      <w:lvlText w:val="%1."/>
      <w:lvlJc w:val="left"/>
      <w:pPr>
        <w:ind w:left="1129" w:hanging="420"/>
      </w:pPr>
      <w:rPr>
        <w:rFonts w:hint="eastAsia"/>
      </w:rPr>
    </w:lvl>
    <w:lvl w:ilvl="1" w:tentative="0">
      <w:start w:val="1"/>
      <w:numFmt w:val="lowerLetter"/>
      <w:lvlText w:val="%2)"/>
      <w:lvlJc w:val="left"/>
      <w:pPr>
        <w:ind w:left="1489" w:hanging="360"/>
      </w:pPr>
      <w:rPr>
        <w:rFonts w:hint="default"/>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29">
    <w:nsid w:val="65A24CE8"/>
    <w:multiLevelType w:val="multilevel"/>
    <w:tmpl w:val="65A24CE8"/>
    <w:lvl w:ilvl="0" w:tentative="0">
      <w:start w:val="1"/>
      <w:numFmt w:val="decimal"/>
      <w:lvlText w:val="6.9.%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83B77FB"/>
    <w:multiLevelType w:val="multilevel"/>
    <w:tmpl w:val="683B77FB"/>
    <w:lvl w:ilvl="0" w:tentative="0">
      <w:start w:val="1"/>
      <w:numFmt w:val="decimal"/>
      <w:lvlText w:val="5.%1"/>
      <w:lvlJc w:val="left"/>
      <w:pPr>
        <w:ind w:left="418" w:hanging="420"/>
      </w:pPr>
      <w:rPr>
        <w:rFonts w:hint="eastAsia" w:ascii="宋体" w:hAnsi="宋体" w:eastAsia="宋体"/>
        <w:b w:val="0"/>
        <w:i w:val="0"/>
        <w:sz w:val="21"/>
        <w:szCs w:val="21"/>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31">
    <w:nsid w:val="692F073B"/>
    <w:multiLevelType w:val="multilevel"/>
    <w:tmpl w:val="692F073B"/>
    <w:lvl w:ilvl="0" w:tentative="0">
      <w:start w:val="1"/>
      <w:numFmt w:val="decimal"/>
      <w:lvlText w:val="6.3.%1"/>
      <w:lvlJc w:val="left"/>
      <w:pPr>
        <w:ind w:left="1155" w:hanging="420"/>
      </w:pPr>
      <w:rPr>
        <w:rFonts w:hint="eastAsia" w:ascii="宋体" w:hAnsi="宋体" w:eastAsia="宋体"/>
        <w:b w:val="0"/>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2447E5B"/>
    <w:multiLevelType w:val="multilevel"/>
    <w:tmpl w:val="72447E5B"/>
    <w:lvl w:ilvl="0" w:tentative="0">
      <w:start w:val="1"/>
      <w:numFmt w:val="decimal"/>
      <w:lvlText w:val="%1)"/>
      <w:lvlJc w:val="left"/>
      <w:pPr>
        <w:ind w:left="468" w:hanging="420"/>
      </w:pPr>
      <w:rPr>
        <w:rFonts w:hint="eastAsia"/>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abstractNum w:abstractNumId="33">
    <w:nsid w:val="7B5B2B50"/>
    <w:multiLevelType w:val="multilevel"/>
    <w:tmpl w:val="7B5B2B50"/>
    <w:lvl w:ilvl="0" w:tentative="0">
      <w:start w:val="1"/>
      <w:numFmt w:val="lowerLetter"/>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4">
    <w:nsid w:val="7C6908C6"/>
    <w:multiLevelType w:val="multilevel"/>
    <w:tmpl w:val="7C6908C6"/>
    <w:lvl w:ilvl="0" w:tentative="0">
      <w:start w:val="1"/>
      <w:numFmt w:val="lowerLetter"/>
      <w:lvlText w:val="%1)"/>
      <w:lvlJc w:val="left"/>
      <w:pPr>
        <w:ind w:left="846" w:hanging="420"/>
      </w:pPr>
    </w:lvl>
    <w:lvl w:ilvl="1" w:tentative="0">
      <w:start w:val="1"/>
      <w:numFmt w:val="decimalEnclosedCircle"/>
      <w:lvlText w:val="%2"/>
      <w:lvlJc w:val="left"/>
      <w:pPr>
        <w:ind w:left="1206" w:hanging="360"/>
      </w:pPr>
      <w:rPr>
        <w:rFonts w:hint="default"/>
      </w:r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5">
    <w:nsid w:val="7CDC5D33"/>
    <w:multiLevelType w:val="multilevel"/>
    <w:tmpl w:val="7CDC5D3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E7F1BF9"/>
    <w:multiLevelType w:val="multilevel"/>
    <w:tmpl w:val="7E7F1BF9"/>
    <w:lvl w:ilvl="0" w:tentative="0">
      <w:start w:val="1"/>
      <w:numFmt w:val="decimal"/>
      <w:lvlText w:val="%1)"/>
      <w:lvlJc w:val="left"/>
      <w:pPr>
        <w:ind w:left="468" w:hanging="420"/>
      </w:pPr>
      <w:rPr>
        <w:rFonts w:hint="eastAsia"/>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num w:numId="1">
    <w:abstractNumId w:val="11"/>
  </w:num>
  <w:num w:numId="2">
    <w:abstractNumId w:val="25"/>
  </w:num>
  <w:num w:numId="3">
    <w:abstractNumId w:val="17"/>
  </w:num>
  <w:num w:numId="4">
    <w:abstractNumId w:val="28"/>
  </w:num>
  <w:num w:numId="5">
    <w:abstractNumId w:val="30"/>
  </w:num>
  <w:num w:numId="6">
    <w:abstractNumId w:val="27"/>
  </w:num>
  <w:num w:numId="7">
    <w:abstractNumId w:val="0"/>
  </w:num>
  <w:num w:numId="8">
    <w:abstractNumId w:val="9"/>
  </w:num>
  <w:num w:numId="9">
    <w:abstractNumId w:val="19"/>
  </w:num>
  <w:num w:numId="10">
    <w:abstractNumId w:val="1"/>
  </w:num>
  <w:num w:numId="11">
    <w:abstractNumId w:val="31"/>
  </w:num>
  <w:num w:numId="12">
    <w:abstractNumId w:val="20"/>
  </w:num>
  <w:num w:numId="13">
    <w:abstractNumId w:val="22"/>
  </w:num>
  <w:num w:numId="14">
    <w:abstractNumId w:val="16"/>
  </w:num>
  <w:num w:numId="15">
    <w:abstractNumId w:val="14"/>
  </w:num>
  <w:num w:numId="16">
    <w:abstractNumId w:val="29"/>
  </w:num>
  <w:num w:numId="17">
    <w:abstractNumId w:val="3"/>
  </w:num>
  <w:num w:numId="18">
    <w:abstractNumId w:val="24"/>
  </w:num>
  <w:num w:numId="19">
    <w:abstractNumId w:val="26"/>
  </w:num>
  <w:num w:numId="20">
    <w:abstractNumId w:val="32"/>
  </w:num>
  <w:num w:numId="21">
    <w:abstractNumId w:val="10"/>
  </w:num>
  <w:num w:numId="22">
    <w:abstractNumId w:val="15"/>
  </w:num>
  <w:num w:numId="23">
    <w:abstractNumId w:val="7"/>
  </w:num>
  <w:num w:numId="24">
    <w:abstractNumId w:val="6"/>
  </w:num>
  <w:num w:numId="25">
    <w:abstractNumId w:val="36"/>
  </w:num>
  <w:num w:numId="26">
    <w:abstractNumId w:val="18"/>
  </w:num>
  <w:num w:numId="27">
    <w:abstractNumId w:val="4"/>
  </w:num>
  <w:num w:numId="28">
    <w:abstractNumId w:val="33"/>
  </w:num>
  <w:num w:numId="29">
    <w:abstractNumId w:val="13"/>
  </w:num>
  <w:num w:numId="30">
    <w:abstractNumId w:val="8"/>
  </w:num>
  <w:num w:numId="31">
    <w:abstractNumId w:val="12"/>
  </w:num>
  <w:num w:numId="32">
    <w:abstractNumId w:val="35"/>
  </w:num>
  <w:num w:numId="33">
    <w:abstractNumId w:val="34"/>
  </w:num>
  <w:num w:numId="34">
    <w:abstractNumId w:val="21"/>
  </w:num>
  <w:num w:numId="35">
    <w:abstractNumId w:val="5"/>
  </w:num>
  <w:num w:numId="36">
    <w:abstractNumId w:val="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C0"/>
    <w:rsid w:val="00013856"/>
    <w:rsid w:val="00022E6F"/>
    <w:rsid w:val="000C7402"/>
    <w:rsid w:val="001311DD"/>
    <w:rsid w:val="00134037"/>
    <w:rsid w:val="00144DBF"/>
    <w:rsid w:val="00167DDE"/>
    <w:rsid w:val="00381C98"/>
    <w:rsid w:val="00384EEA"/>
    <w:rsid w:val="003F7BD7"/>
    <w:rsid w:val="0043393E"/>
    <w:rsid w:val="00462ECF"/>
    <w:rsid w:val="004756FB"/>
    <w:rsid w:val="004851D3"/>
    <w:rsid w:val="00535974"/>
    <w:rsid w:val="00564E0F"/>
    <w:rsid w:val="00582567"/>
    <w:rsid w:val="00780C91"/>
    <w:rsid w:val="00800084"/>
    <w:rsid w:val="00817090"/>
    <w:rsid w:val="009A1DE3"/>
    <w:rsid w:val="00AA1E4A"/>
    <w:rsid w:val="00AB4DC0"/>
    <w:rsid w:val="00CC121B"/>
    <w:rsid w:val="00CC797B"/>
    <w:rsid w:val="00CD1483"/>
    <w:rsid w:val="00D57ABF"/>
    <w:rsid w:val="1B157209"/>
    <w:rsid w:val="2C8B4636"/>
    <w:rsid w:val="3BE005DB"/>
    <w:rsid w:val="52582BB2"/>
    <w:rsid w:val="76746B4A"/>
    <w:rsid w:val="7D914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1470</Words>
  <Characters>8379</Characters>
  <Lines>69</Lines>
  <Paragraphs>19</Paragraphs>
  <TotalTime>252</TotalTime>
  <ScaleCrop>false</ScaleCrop>
  <LinksUpToDate>false</LinksUpToDate>
  <CharactersWithSpaces>9830</CharactersWithSpaces>
  <Application>WPS Office_11.1.0.8654_F1E327BC-269C-435d-A152-05C5408002CA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2019-01-18T07:29:00Z</dcterms:created>
  <dc:creator>User</dc:creator>
  <cp:lastModifiedBy>牧师</cp:lastModifiedBy>
  <dcterms:modified xsi:type="dcterms:W3CDTF">2019-05-21T05:27:29Z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2052-11.1.0.8654</vt:lpwstr>
  </property>
</Properties>
</file>